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2021年度部门预算公开编制目录</w:t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一、部门主要职责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二、部门机构设置情况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三、部门预算草案编制情况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部门收入预算情况说明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部门支出预算情况说明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四、其他重要事项的情况说明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机关运行经费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政府采购情况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国有资产占用情况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四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绩效目标设置情况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专业性名词解释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六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关于空表的说明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五、2021年部门预算表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部门收支总体情况表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部门收入总体情况表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部门支出总体情况表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0"/>
          <w:szCs w:val="30"/>
        </w:rPr>
        <w:t>财政拨款收支总体情况表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0"/>
          <w:szCs w:val="30"/>
        </w:rPr>
        <w:t>一般公共预算支出情况表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0"/>
          <w:szCs w:val="30"/>
        </w:rPr>
        <w:t>一般公共预算基本支出情况表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0"/>
          <w:szCs w:val="30"/>
        </w:rPr>
        <w:t>政府性基金预算支出情况表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0"/>
          <w:szCs w:val="30"/>
        </w:rPr>
        <w:t>一般公共预算“三公”经费支出情况表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（九）</w:t>
      </w:r>
      <w:r>
        <w:rPr>
          <w:rFonts w:hint="eastAsia" w:ascii="仿宋_GB2312" w:hAnsi="仿宋_GB2312" w:eastAsia="仿宋_GB2312" w:cs="仿宋_GB2312"/>
          <w:sz w:val="30"/>
          <w:szCs w:val="30"/>
        </w:rPr>
        <w:t>项目支出表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YjBmOTMxYjhjYzBlYTZjZjQ0OWZiYWVjNTZiMWUifQ=="/>
  </w:docVars>
  <w:rsids>
    <w:rsidRoot w:val="00000000"/>
    <w:rsid w:val="06FD5FD9"/>
    <w:rsid w:val="26B2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271</Characters>
  <Lines>0</Lines>
  <Paragraphs>0</Paragraphs>
  <TotalTime>1</TotalTime>
  <ScaleCrop>false</ScaleCrop>
  <LinksUpToDate>false</LinksUpToDate>
  <CharactersWithSpaces>271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2022-08-29T01:14:00Z</dcterms:created>
  <dc:creator>27849</dc:creator>
  <cp:lastModifiedBy>Administrator</cp:lastModifiedBy>
  <dcterms:modified xsi:type="dcterms:W3CDTF">2022-08-29T01:38:52Z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E61038BBE20A43138F3ABA5A291DF93A</vt:lpwstr>
  </property>
</Properties>
</file>