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AF26F">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0CF1F0EF">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2B7BC549">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4E07814E">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6CAEB565">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15F7A19B">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7AD80E78">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249C309D">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269F20B1">
      <w:pPr>
        <w:adjustRightInd w:val="0"/>
        <w:spacing w:line="240" w:lineRule="auto"/>
        <w:jc w:val="center"/>
        <w:textAlignment w:val="baseline"/>
        <w:rPr>
          <w:rFonts w:hint="eastAsia" w:ascii="方正小标宋简体" w:hAnsi="方正小标宋简体" w:eastAsia="方正小标宋简体" w:cs="方正小标宋简体"/>
          <w:kern w:val="0"/>
          <w:sz w:val="48"/>
          <w:szCs w:val="48"/>
          <w:lang w:val="zh-CN"/>
          <w14:ligatures w14:val="none"/>
        </w:rPr>
      </w:pPr>
      <w:r>
        <w:rPr>
          <w:rFonts w:hint="eastAsia" w:ascii="方正小标宋简体" w:hAnsi="方正小标宋简体" w:eastAsia="方正小标宋简体" w:cs="方正小标宋简体"/>
          <w:kern w:val="0"/>
          <w:sz w:val="48"/>
          <w:szCs w:val="48"/>
          <w:lang w:val="zh-CN"/>
          <w14:ligatures w14:val="none"/>
        </w:rPr>
        <w:t>天津市河西区消费者协会2023年度部门决算</w:t>
      </w:r>
    </w:p>
    <w:p w14:paraId="2EC3B1DB">
      <w:pPr>
        <w:autoSpaceDE w:val="0"/>
        <w:autoSpaceDN w:val="0"/>
        <w:adjustRightInd w:val="0"/>
        <w:spacing w:line="580" w:lineRule="exact"/>
        <w:jc w:val="center"/>
        <w:rPr>
          <w:rFonts w:ascii="Times New Roman" w:hAnsi="Times New Roman" w:eastAsia="黑体" w:cs="黑体"/>
          <w:sz w:val="30"/>
          <w:szCs w:val="30"/>
          <w:highlight w:val="none"/>
        </w:rPr>
      </w:pPr>
    </w:p>
    <w:p w14:paraId="231C99CD">
      <w:pPr>
        <w:autoSpaceDE w:val="0"/>
        <w:autoSpaceDN w:val="0"/>
        <w:adjustRightInd w:val="0"/>
        <w:spacing w:line="580" w:lineRule="exact"/>
        <w:jc w:val="center"/>
        <w:rPr>
          <w:rFonts w:ascii="Times New Roman" w:hAnsi="Times New Roman" w:eastAsia="黑体" w:cs="黑体"/>
          <w:sz w:val="30"/>
          <w:szCs w:val="30"/>
          <w:highlight w:val="none"/>
        </w:rPr>
      </w:pPr>
    </w:p>
    <w:p w14:paraId="39AD2EFC">
      <w:pPr>
        <w:autoSpaceDE w:val="0"/>
        <w:autoSpaceDN w:val="0"/>
        <w:adjustRightInd w:val="0"/>
        <w:spacing w:line="580" w:lineRule="exact"/>
        <w:jc w:val="center"/>
        <w:rPr>
          <w:rFonts w:ascii="Times New Roman" w:hAnsi="Times New Roman" w:eastAsia="黑体" w:cs="黑体"/>
          <w:sz w:val="30"/>
          <w:szCs w:val="30"/>
          <w:highlight w:val="none"/>
        </w:rPr>
      </w:pPr>
    </w:p>
    <w:p w14:paraId="0669558F">
      <w:pPr>
        <w:autoSpaceDE w:val="0"/>
        <w:autoSpaceDN w:val="0"/>
        <w:adjustRightInd w:val="0"/>
        <w:spacing w:line="580" w:lineRule="exact"/>
        <w:jc w:val="center"/>
        <w:rPr>
          <w:rFonts w:ascii="Times New Roman" w:hAnsi="Times New Roman" w:eastAsia="黑体" w:cs="黑体"/>
          <w:sz w:val="30"/>
          <w:szCs w:val="30"/>
          <w:highlight w:val="none"/>
        </w:rPr>
      </w:pPr>
    </w:p>
    <w:p w14:paraId="4761E81A">
      <w:pPr>
        <w:autoSpaceDE w:val="0"/>
        <w:autoSpaceDN w:val="0"/>
        <w:adjustRightInd w:val="0"/>
        <w:spacing w:line="580" w:lineRule="exact"/>
        <w:jc w:val="center"/>
        <w:rPr>
          <w:rFonts w:ascii="Times New Roman" w:hAnsi="Times New Roman" w:eastAsia="黑体" w:cs="黑体"/>
          <w:sz w:val="30"/>
          <w:szCs w:val="30"/>
          <w:highlight w:val="none"/>
        </w:rPr>
      </w:pPr>
    </w:p>
    <w:p w14:paraId="4AB31363">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ascii="Times New Roman" w:hAnsi="Times New Roman" w:eastAsia="黑体" w:cs="黑体"/>
          <w:sz w:val="30"/>
          <w:szCs w:val="30"/>
          <w:highlight w:val="none"/>
        </w:rPr>
        <w:br w:type="page"/>
      </w:r>
    </w:p>
    <w:p w14:paraId="4A4E1B82">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hint="eastAsia" w:ascii="Times New Roman" w:hAnsi="Times New Roman" w:eastAsia="黑体" w:cs="黑体"/>
          <w:kern w:val="0"/>
          <w:sz w:val="44"/>
          <w:szCs w:val="44"/>
          <w:highlight w:val="none"/>
        </w:rPr>
        <w:t>目</w:t>
      </w:r>
      <w:r>
        <w:rPr>
          <w:rFonts w:hint="eastAsia" w:ascii="Times New Roman" w:hAnsi="Times New Roman" w:eastAsia="黑体" w:cs="黑体"/>
          <w:kern w:val="0"/>
          <w:sz w:val="44"/>
          <w:szCs w:val="44"/>
          <w:highlight w:val="none"/>
          <w:lang w:val="en-US" w:eastAsia="zh-CN"/>
        </w:rPr>
        <w:t xml:space="preserve">   </w:t>
      </w:r>
      <w:r>
        <w:rPr>
          <w:rFonts w:hint="eastAsia" w:ascii="Times New Roman" w:hAnsi="Times New Roman" w:eastAsia="黑体" w:cs="黑体"/>
          <w:kern w:val="0"/>
          <w:sz w:val="44"/>
          <w:szCs w:val="44"/>
          <w:highlight w:val="none"/>
        </w:rPr>
        <w:t>录</w:t>
      </w:r>
    </w:p>
    <w:p w14:paraId="1C47BB11">
      <w:pPr>
        <w:autoSpaceDE w:val="0"/>
        <w:autoSpaceDN w:val="0"/>
        <w:adjustRightInd w:val="0"/>
        <w:spacing w:line="600" w:lineRule="exact"/>
        <w:jc w:val="left"/>
        <w:rPr>
          <w:rFonts w:ascii="Times New Roman" w:hAnsi="Times New Roman" w:eastAsia="黑体" w:cs="黑体"/>
          <w:kern w:val="0"/>
          <w:sz w:val="30"/>
          <w:szCs w:val="30"/>
          <w:highlight w:val="none"/>
        </w:rPr>
      </w:pPr>
    </w:p>
    <w:p w14:paraId="7D6E5726">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第一部分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概</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况</w:t>
      </w:r>
    </w:p>
    <w:p w14:paraId="54E1B2B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一、主要职责</w:t>
      </w:r>
    </w:p>
    <w:p w14:paraId="2706AB1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二、机构设置</w:t>
      </w:r>
    </w:p>
    <w:p w14:paraId="4207961A">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第二部分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年度部门决算表</w:t>
      </w:r>
    </w:p>
    <w:p w14:paraId="07C66E3C">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一、收入支出决算总表</w:t>
      </w:r>
    </w:p>
    <w:p w14:paraId="43CA8C8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二、收入决算表（按功能分类列示）</w:t>
      </w:r>
    </w:p>
    <w:p w14:paraId="53AC79F7">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三、收入决算表（按单位列示）</w:t>
      </w:r>
    </w:p>
    <w:p w14:paraId="7D3EDE0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四、支出决算表</w:t>
      </w:r>
    </w:p>
    <w:p w14:paraId="41C0D3EF">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五、财政拨款收入支出决算总表</w:t>
      </w:r>
    </w:p>
    <w:p w14:paraId="30BB1E3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六、一般公共预算财政拨款支出决算表</w:t>
      </w:r>
    </w:p>
    <w:p w14:paraId="23E5B78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七、一般公共预算财政拨款基本支出决算表</w:t>
      </w:r>
    </w:p>
    <w:p w14:paraId="0E24150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八、政府性基金预算财政拨款收入支出决算表</w:t>
      </w:r>
    </w:p>
    <w:p w14:paraId="3BCE100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九、国有资本经营预算财政拨款收入支出决算表</w:t>
      </w:r>
    </w:p>
    <w:p w14:paraId="5EE47C0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经费支出决算表</w:t>
      </w:r>
    </w:p>
    <w:p w14:paraId="45C2820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十一、项目支出决算表</w:t>
      </w:r>
    </w:p>
    <w:p w14:paraId="494B82F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十二、关于空表的说明</w:t>
      </w:r>
    </w:p>
    <w:p w14:paraId="570BBC1A">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第三部分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年度部门决算情况说明</w:t>
      </w:r>
    </w:p>
    <w:p w14:paraId="6518E66E">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一、收支决算总体情况说明</w:t>
      </w:r>
    </w:p>
    <w:p w14:paraId="7408C70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二、收入决算情况说明</w:t>
      </w:r>
    </w:p>
    <w:p w14:paraId="3C0CA8B7">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三、支出决算情况说明</w:t>
      </w:r>
    </w:p>
    <w:p w14:paraId="3DDE29CF">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四、财政拨款收支决算总体情况说明</w:t>
      </w:r>
    </w:p>
    <w:p w14:paraId="5FBE653E">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五、一般公共预算财政拨款支出决算情况说明</w:t>
      </w:r>
    </w:p>
    <w:p w14:paraId="6F4507B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六、一般公共预算财政拨款基本支出决算情况说明</w:t>
      </w:r>
    </w:p>
    <w:p w14:paraId="254E5F09">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七、政府性基金预算财政拨款收支决算情况说明</w:t>
      </w:r>
    </w:p>
    <w:p w14:paraId="494C7D81">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八、国有资本经营预算财政拨款收支决算情况说明</w:t>
      </w:r>
    </w:p>
    <w:p w14:paraId="2BBCEB3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经费支出决算情况说明</w:t>
      </w:r>
    </w:p>
    <w:p w14:paraId="7C8DEB0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十、机关运行经费支出情况说明</w:t>
      </w:r>
    </w:p>
    <w:p w14:paraId="1E5FEB8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十一、政府采购支出情况说明</w:t>
      </w:r>
    </w:p>
    <w:p w14:paraId="0F02E84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十二、国有资产占有使用情况说明</w:t>
      </w:r>
    </w:p>
    <w:p w14:paraId="17CB898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十三、预算绩效情况说明</w:t>
      </w:r>
    </w:p>
    <w:p w14:paraId="2932CBE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lang w:val="en"/>
        </w:rPr>
      </w:pPr>
      <w:r>
        <w:rPr>
          <w:rFonts w:hint="eastAsia" w:ascii="Times New Roman" w:hAnsi="Times New Roman" w:eastAsia="仿宋_GB2312" w:cs="仿宋_GB2312"/>
          <w:kern w:val="0"/>
          <w:sz w:val="30"/>
          <w:szCs w:val="30"/>
          <w:highlight w:val="none"/>
        </w:rPr>
        <w:t>十四、教育、医疗卫生、社会保障和就业、住房保障、涉农补贴等民生支出情况说明</w:t>
      </w:r>
    </w:p>
    <w:p w14:paraId="44C38A5B">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lang w:val="en"/>
        </w:rPr>
      </w:pPr>
      <w:r>
        <w:rPr>
          <w:rFonts w:hint="eastAsia" w:ascii="Times New Roman" w:hAnsi="Times New Roman" w:eastAsia="方正小标宋简体" w:cs="方正小标宋简体"/>
          <w:kern w:val="0"/>
          <w:sz w:val="30"/>
          <w:szCs w:val="30"/>
          <w:highlight w:val="none"/>
          <w:lang w:val="en"/>
        </w:rPr>
        <w:t>第四部分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val="en"/>
        </w:rPr>
        <w:t>名词解释</w:t>
      </w:r>
    </w:p>
    <w:p w14:paraId="74B4C395">
      <w:pPr>
        <w:autoSpaceDE w:val="0"/>
        <w:autoSpaceDN w:val="0"/>
        <w:adjustRightInd w:val="0"/>
        <w:spacing w:line="700" w:lineRule="exact"/>
        <w:jc w:val="left"/>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14:paraId="1A7A8073">
      <w:pPr>
        <w:keepNext/>
        <w:keepLines/>
        <w:autoSpaceDE w:val="0"/>
        <w:autoSpaceDN w:val="0"/>
        <w:adjustRightInd w:val="0"/>
        <w:spacing w:line="600" w:lineRule="exact"/>
        <w:jc w:val="center"/>
        <w:outlineLvl w:val="0"/>
        <w:rPr>
          <w:rFonts w:hint="eastAsia" w:ascii="方正小标宋简体" w:hAnsi="方正小标宋简体" w:eastAsia="方正小标宋简体" w:cs="方正小标宋简体"/>
          <w:b w:val="0"/>
          <w:bCs w:val="0"/>
          <w:kern w:val="44"/>
          <w:sz w:val="44"/>
          <w:szCs w:val="44"/>
          <w:lang w:val="en-US" w:eastAsia="zh-CN" w:bidi="ar-SA"/>
          <w14:ligatures w14:val="none"/>
        </w:rPr>
      </w:pPr>
    </w:p>
    <w:p w14:paraId="2F237145">
      <w:pPr>
        <w:keepNext/>
        <w:keepLines/>
        <w:numPr>
          <w:ilvl w:val="0"/>
          <w:numId w:val="1"/>
        </w:numPr>
        <w:autoSpaceDE w:val="0"/>
        <w:autoSpaceDN w:val="0"/>
        <w:adjustRightInd w:val="0"/>
        <w:spacing w:line="600" w:lineRule="exact"/>
        <w:jc w:val="center"/>
        <w:outlineLvl w:val="0"/>
        <w:rPr>
          <w:rFonts w:hint="eastAsia" w:ascii="方正小标宋简体" w:hAnsi="方正小标宋简体" w:eastAsia="方正小标宋简体" w:cs="方正小标宋简体"/>
          <w:b w:val="0"/>
          <w:bCs w:val="0"/>
          <w:kern w:val="44"/>
          <w:sz w:val="44"/>
          <w:szCs w:val="44"/>
          <w:lang w:val="en-US" w:eastAsia="zh-CN" w:bidi="ar-SA"/>
          <w14:ligatures w14:val="none"/>
        </w:rPr>
      </w:pPr>
      <w:r>
        <w:rPr>
          <w:rFonts w:hint="eastAsia" w:ascii="方正小标宋简体" w:hAnsi="方正小标宋简体" w:eastAsia="方正小标宋简体" w:cs="方正小标宋简体"/>
          <w:b w:val="0"/>
          <w:bCs w:val="0"/>
          <w:kern w:val="44"/>
          <w:sz w:val="44"/>
          <w:szCs w:val="44"/>
          <w:lang w:val="en-US" w:eastAsia="zh-CN" w:bidi="ar-SA"/>
          <w14:ligatures w14:val="none"/>
        </w:rPr>
        <w:t xml:space="preserve"> 概 况</w:t>
      </w:r>
    </w:p>
    <w:p w14:paraId="0415C1A0">
      <w:pPr>
        <w:keepNext/>
        <w:keepLines/>
        <w:numPr>
          <w:ilvl w:val="0"/>
          <w:numId w:val="0"/>
        </w:numPr>
        <w:autoSpaceDE w:val="0"/>
        <w:autoSpaceDN w:val="0"/>
        <w:adjustRightInd w:val="0"/>
        <w:spacing w:line="600" w:lineRule="exact"/>
        <w:jc w:val="both"/>
        <w:outlineLvl w:val="0"/>
        <w:rPr>
          <w:rFonts w:hint="eastAsia" w:ascii="方正小标宋简体" w:hAnsi="方正小标宋简体" w:eastAsia="方正小标宋简体" w:cs="方正小标宋简体"/>
          <w:b w:val="0"/>
          <w:bCs w:val="0"/>
          <w:kern w:val="44"/>
          <w:sz w:val="44"/>
          <w:szCs w:val="44"/>
          <w:lang w:val="en-US" w:eastAsia="zh-CN" w:bidi="ar-SA"/>
          <w14:ligatures w14:val="none"/>
        </w:rPr>
      </w:pPr>
    </w:p>
    <w:p w14:paraId="6A197769">
      <w:pPr>
        <w:keepNext/>
        <w:keepLines/>
        <w:numPr>
          <w:ilvl w:val="0"/>
          <w:numId w:val="2"/>
        </w:numPr>
        <w:autoSpaceDE w:val="0"/>
        <w:autoSpaceDN w:val="0"/>
        <w:adjustRightInd w:val="0"/>
        <w:spacing w:line="600" w:lineRule="exact"/>
        <w:ind w:firstLine="600" w:firstLineChars="200"/>
        <w:jc w:val="left"/>
        <w:outlineLvl w:val="1"/>
        <w:rPr>
          <w:rFonts w:hint="eastAsia" w:ascii="Times New Roman" w:hAnsi="Times New Roman" w:eastAsia="仿宋_GB2312" w:cs="仿宋_GB2312"/>
          <w:sz w:val="30"/>
          <w:szCs w:val="30"/>
          <w:highlight w:val="none"/>
          <w:lang w:eastAsia="zh-CN"/>
        </w:rPr>
      </w:pPr>
      <w:r>
        <w:rPr>
          <w:rFonts w:hint="eastAsia" w:ascii="Times New Roman" w:hAnsi="Times New Roman" w:eastAsia="黑体" w:cs="黑体"/>
          <w:kern w:val="0"/>
          <w:sz w:val="30"/>
          <w:szCs w:val="30"/>
          <w:highlight w:val="none"/>
        </w:rPr>
        <w:t>主要职责</w:t>
      </w:r>
    </w:p>
    <w:p w14:paraId="777934B3">
      <w:pPr>
        <w:keepNext/>
        <w:keepLines/>
        <w:numPr>
          <w:ilvl w:val="0"/>
          <w:numId w:val="0"/>
        </w:numPr>
        <w:autoSpaceDE w:val="0"/>
        <w:autoSpaceDN w:val="0"/>
        <w:adjustRightInd w:val="0"/>
        <w:spacing w:line="600" w:lineRule="exact"/>
        <w:ind w:firstLine="600" w:firstLineChars="200"/>
        <w:jc w:val="left"/>
        <w:outlineLvl w:val="1"/>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（一）向消费者提供消费信息和咨询服务，提高消费者维护自身合法权益的能力，引导文明、健康、节约资源和保护环境的消费方式；</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（二）参与制定有关消费者权益的法律、法规、规章和强制性标准；</w:t>
      </w:r>
      <w:r>
        <w:rPr>
          <w:rFonts w:hint="eastAsia" w:ascii="Times New Roman" w:hAnsi="Times New Roman" w:eastAsia="仿宋_GB2312" w:cs="仿宋_GB2312"/>
          <w:sz w:val="30"/>
          <w:szCs w:val="30"/>
          <w:highlight w:val="none"/>
          <w:lang w:eastAsia="zh-CN"/>
        </w:rPr>
        <w:br w:type="textWrapping"/>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（三）参与有关行政部门对商品和服务的监督、检查；</w:t>
      </w:r>
      <w:r>
        <w:rPr>
          <w:rFonts w:hint="eastAsia" w:ascii="Times New Roman" w:hAnsi="Times New Roman" w:eastAsia="仿宋_GB2312" w:cs="仿宋_GB2312"/>
          <w:sz w:val="30"/>
          <w:szCs w:val="30"/>
          <w:highlight w:val="none"/>
          <w:lang w:eastAsia="zh-CN"/>
        </w:rPr>
        <w:br w:type="textWrapping"/>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eastAsia="zh-CN"/>
        </w:rPr>
        <w:t>（四）就有关消费者合法权益的问题，向有关部门反映、查询，提出建议；</w:t>
      </w:r>
      <w:r>
        <w:rPr>
          <w:rFonts w:hint="eastAsia" w:ascii="Times New Roman" w:hAnsi="Times New Roman" w:eastAsia="仿宋_GB2312" w:cs="仿宋_GB2312"/>
          <w:sz w:val="30"/>
          <w:szCs w:val="30"/>
          <w:highlight w:val="none"/>
          <w:lang w:eastAsia="zh-CN"/>
        </w:rPr>
        <w:br w:type="textWrapping"/>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eastAsia="zh-CN"/>
        </w:rPr>
        <w:t>（五）受理消费者的投诉，并对投诉事项进行调查、调解；</w:t>
      </w:r>
      <w:r>
        <w:rPr>
          <w:rFonts w:hint="eastAsia" w:ascii="Times New Roman" w:hAnsi="Times New Roman" w:eastAsia="仿宋_GB2312" w:cs="仿宋_GB2312"/>
          <w:sz w:val="30"/>
          <w:szCs w:val="30"/>
          <w:highlight w:val="none"/>
          <w:lang w:eastAsia="zh-CN"/>
        </w:rPr>
        <w:br w:type="textWrapping"/>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（六）投诉事项涉及商品和服务质量问题的，可以委托具备资格的鉴定人鉴定，鉴定人应当告知鉴定意见；</w:t>
      </w:r>
      <w:r>
        <w:rPr>
          <w:rFonts w:hint="eastAsia" w:ascii="Times New Roman" w:hAnsi="Times New Roman" w:eastAsia="仿宋_GB2312" w:cs="仿宋_GB2312"/>
          <w:sz w:val="30"/>
          <w:szCs w:val="30"/>
          <w:highlight w:val="none"/>
          <w:lang w:eastAsia="zh-CN"/>
        </w:rPr>
        <w:br w:type="textWrapping"/>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（七）就损害消费者合法权益的行为，支持受损害的消费者提起诉讼或者依照本法提起诉讼；</w:t>
      </w:r>
      <w:r>
        <w:rPr>
          <w:rFonts w:hint="eastAsia" w:ascii="Times New Roman" w:hAnsi="Times New Roman" w:eastAsia="仿宋_GB2312" w:cs="仿宋_GB2312"/>
          <w:sz w:val="30"/>
          <w:szCs w:val="30"/>
          <w:highlight w:val="none"/>
          <w:lang w:eastAsia="zh-CN"/>
        </w:rPr>
        <w:br w:type="textWrapping"/>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default" w:ascii="Times New Roman" w:hAnsi="Times New Roman" w:eastAsia="仿宋_GB2312" w:cs="仿宋_GB2312"/>
          <w:sz w:val="30"/>
          <w:szCs w:val="30"/>
          <w:highlight w:val="none"/>
          <w:lang w:val="en"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（八）对损害消费者合法权益的行为，通过大众传播媒介予以揭露、批评。</w:t>
      </w:r>
    </w:p>
    <w:p w14:paraId="16E84768">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14:paraId="324CA6AE">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天津市河西区消费者协会内设1个职能科室；下辖0个预算单位。纳入天津市河西区消费者协会2023年度部门决算编制范围的单位包括：</w:t>
      </w:r>
    </w:p>
    <w:p w14:paraId="30579236">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1、天津市河西区消费者协会</w:t>
      </w:r>
    </w:p>
    <w:p w14:paraId="40EEEC4E">
      <w:pPr>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14:paraId="5AA06EE9">
      <w:pPr>
        <w:keepNext/>
        <w:keepLines/>
        <w:autoSpaceDE w:val="0"/>
        <w:autoSpaceDN w:val="0"/>
        <w:adjustRightInd w:val="0"/>
        <w:spacing w:line="600" w:lineRule="exact"/>
        <w:jc w:val="center"/>
        <w:outlineLvl w:val="0"/>
        <w:rPr>
          <w:rFonts w:hint="eastAsia" w:ascii="Times New Roman" w:hAnsi="Times New Roman" w:eastAsia="方正小标宋简体" w:cs="方正小标宋简体"/>
          <w:kern w:val="44"/>
          <w:sz w:val="44"/>
          <w:szCs w:val="44"/>
          <w:highlight w:val="none"/>
        </w:rPr>
      </w:pPr>
    </w:p>
    <w:p w14:paraId="082B2B1F">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第二部分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年度部门决算表</w:t>
      </w:r>
    </w:p>
    <w:p w14:paraId="62FA3AA8">
      <w:pPr>
        <w:autoSpaceDE w:val="0"/>
        <w:autoSpaceDN w:val="0"/>
        <w:adjustRightInd w:val="0"/>
        <w:spacing w:line="600" w:lineRule="exact"/>
        <w:jc w:val="left"/>
        <w:rPr>
          <w:rFonts w:ascii="Times New Roman" w:hAnsi="Times New Roman" w:eastAsia="方正小标宋简体" w:cs="Times New Roman"/>
          <w:kern w:val="0"/>
          <w:sz w:val="24"/>
          <w:szCs w:val="24"/>
          <w:highlight w:val="none"/>
        </w:rPr>
      </w:pPr>
    </w:p>
    <w:p w14:paraId="63E50D36">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一、《收入支出决算总表》</w:t>
      </w:r>
    </w:p>
    <w:p w14:paraId="02DC1669">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二、《收入决算表（按功能分类列示）》</w:t>
      </w:r>
    </w:p>
    <w:p w14:paraId="681A9595">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三、《收入决算表（按单位列示）》</w:t>
      </w:r>
    </w:p>
    <w:p w14:paraId="25C2F03E">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四、《支出决算表》</w:t>
      </w:r>
    </w:p>
    <w:p w14:paraId="7D6E92A2">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五、《财政拨款收入支出决算总表》</w:t>
      </w:r>
    </w:p>
    <w:p w14:paraId="6A68D874">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六、《一般公共预算财政拨款支出决算表》</w:t>
      </w:r>
    </w:p>
    <w:p w14:paraId="474F1E51">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七、《一般公共预算财政拨款基本支出决算表》</w:t>
      </w:r>
    </w:p>
    <w:p w14:paraId="5B7C3234">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八、《政府性基金预算财政拨款收入支出决算表》</w:t>
      </w:r>
    </w:p>
    <w:p w14:paraId="7576C2E3">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九、《国有资本经营预算财政拨款收入支出决算表》</w:t>
      </w:r>
    </w:p>
    <w:p w14:paraId="16D03D59">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十、《财政拨款</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三公</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经费支出决算表》</w:t>
      </w:r>
    </w:p>
    <w:p w14:paraId="3C8FA835">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十一、《项目支出决算表》</w:t>
      </w:r>
    </w:p>
    <w:p w14:paraId="72A15DDC">
      <w:pPr>
        <w:autoSpaceDE w:val="0"/>
        <w:autoSpaceDN w:val="0"/>
        <w:adjustRightInd w:val="0"/>
        <w:spacing w:line="800" w:lineRule="exact"/>
        <w:jc w:val="left"/>
        <w:rPr>
          <w:rFonts w:ascii="Times New Roman" w:hAnsi="Times New Roman" w:eastAsia="楷体" w:cs="楷体"/>
          <w:kern w:val="0"/>
          <w:sz w:val="30"/>
          <w:szCs w:val="30"/>
          <w:highlight w:val="none"/>
        </w:rPr>
      </w:pPr>
      <w:r>
        <w:rPr>
          <w:rFonts w:hint="eastAsia" w:ascii="Times New Roman" w:hAnsi="Times New Roman" w:eastAsia="楷体" w:cs="楷体"/>
          <w:kern w:val="0"/>
          <w:sz w:val="30"/>
          <w:szCs w:val="30"/>
          <w:highlight w:val="none"/>
        </w:rPr>
        <w:t>注：以上决算公开表均作为附表，附于决算公开说明文档后。</w:t>
      </w:r>
    </w:p>
    <w:p w14:paraId="1D582DA3">
      <w:pPr>
        <w:autoSpaceDE w:val="0"/>
        <w:autoSpaceDN w:val="0"/>
        <w:adjustRightInd w:val="0"/>
        <w:spacing w:line="600" w:lineRule="exact"/>
        <w:jc w:val="left"/>
        <w:rPr>
          <w:rFonts w:ascii="Times New Roman" w:hAnsi="Times New Roman" w:eastAsia="黑体" w:cs="黑体"/>
          <w:b/>
          <w:bCs/>
          <w:kern w:val="0"/>
          <w:sz w:val="30"/>
          <w:szCs w:val="30"/>
          <w:highlight w:val="none"/>
        </w:rPr>
      </w:pPr>
      <w:r>
        <w:rPr>
          <w:rFonts w:ascii="Times New Roman" w:hAnsi="Times New Roman" w:eastAsia="楷体" w:cs="Times New Roman"/>
          <w:kern w:val="0"/>
          <w:sz w:val="24"/>
          <w:szCs w:val="24"/>
          <w:highlight w:val="none"/>
        </w:rPr>
        <w:br w:type="page"/>
      </w:r>
      <w:r>
        <w:rPr>
          <w:rFonts w:hint="eastAsia" w:ascii="Times New Roman" w:hAnsi="Times New Roman" w:eastAsia="楷体" w:cs="Times New Roman"/>
          <w:kern w:val="0"/>
          <w:sz w:val="24"/>
          <w:szCs w:val="24"/>
          <w:highlight w:val="none"/>
          <w:lang w:val="en-US" w:eastAsia="zh-CN"/>
        </w:rPr>
        <w:t xml:space="preserve">   </w:t>
      </w:r>
      <w:r>
        <w:rPr>
          <w:rFonts w:hint="eastAsia" w:ascii="Times New Roman" w:hAnsi="Times New Roman" w:eastAsia="黑体" w:cs="黑体"/>
          <w:b/>
          <w:bCs/>
          <w:kern w:val="0"/>
          <w:sz w:val="30"/>
          <w:szCs w:val="30"/>
          <w:highlight w:val="none"/>
        </w:rPr>
        <w:t>十二、关于空表的说明</w:t>
      </w:r>
    </w:p>
    <w:p w14:paraId="1F08CCF7">
      <w:pPr>
        <w:adjustRightInd w:val="0"/>
        <w:spacing w:line="640" w:lineRule="exact"/>
        <w:ind w:firstLine="450" w:firstLineChars="150"/>
        <w:jc w:val="left"/>
        <w:textAlignment w:val="baseline"/>
        <w:rPr>
          <w:rFonts w:hint="eastAsia" w:ascii="楷体" w:hAnsi="楷体" w:eastAsia="楷体" w:cs="楷体"/>
          <w:sz w:val="30"/>
          <w:szCs w:val="30"/>
          <w:highlight w:val="none"/>
          <w:lang w:eastAsia="zh-CN"/>
        </w:rPr>
      </w:pPr>
      <w:r>
        <w:rPr>
          <w:rFonts w:hint="eastAsia" w:ascii="楷体" w:hAnsi="楷体" w:eastAsia="楷体" w:cs="楷体"/>
          <w:sz w:val="30"/>
          <w:szCs w:val="30"/>
          <w:highlight w:val="none"/>
          <w:lang w:eastAsia="zh-CN"/>
        </w:rPr>
        <w:t>1.天津市河西区消费者协会2023年度政府性基金预算财政拨款收入</w:t>
      </w:r>
      <w:r>
        <w:rPr>
          <w:rFonts w:hint="eastAsia" w:ascii="Times New Roman" w:hAnsi="Times New Roman" w:eastAsia="楷体" w:cs="Times New Roman"/>
          <w:kern w:val="0"/>
          <w:sz w:val="30"/>
          <w:szCs w:val="30"/>
          <w:lang w:eastAsia="zh-CN"/>
          <w14:ligatures w14:val="none"/>
        </w:rPr>
        <w:t>支出</w:t>
      </w:r>
      <w:r>
        <w:rPr>
          <w:rFonts w:hint="eastAsia" w:ascii="楷体" w:hAnsi="楷体" w:eastAsia="楷体" w:cs="楷体"/>
          <w:sz w:val="30"/>
          <w:szCs w:val="30"/>
          <w:highlight w:val="none"/>
          <w:lang w:eastAsia="zh-CN"/>
        </w:rPr>
        <w:t>决算表为空表。</w:t>
      </w:r>
      <w:r>
        <w:rPr>
          <w:rFonts w:hint="eastAsia" w:ascii="楷体" w:hAnsi="楷体" w:eastAsia="楷体" w:cs="楷体"/>
          <w:sz w:val="30"/>
          <w:szCs w:val="30"/>
          <w:highlight w:val="none"/>
          <w:lang w:eastAsia="zh-CN"/>
        </w:rPr>
        <w:br w:type="textWrapping"/>
      </w:r>
      <w:r>
        <w:rPr>
          <w:rFonts w:hint="default" w:ascii="楷体" w:hAnsi="楷体" w:eastAsia="楷体" w:cs="楷体"/>
          <w:sz w:val="30"/>
          <w:szCs w:val="30"/>
          <w:highlight w:val="none"/>
          <w:lang w:val="en" w:eastAsia="zh-CN"/>
        </w:rPr>
        <w:t xml:space="preserve">   </w:t>
      </w:r>
      <w:r>
        <w:rPr>
          <w:rFonts w:hint="eastAsia" w:ascii="楷体" w:hAnsi="楷体" w:eastAsia="楷体" w:cs="楷体"/>
          <w:sz w:val="30"/>
          <w:szCs w:val="30"/>
          <w:highlight w:val="none"/>
          <w:lang w:eastAsia="zh-CN"/>
        </w:rPr>
        <w:t>2.天津市河西区消费者协会2023年度国有资本经营预算财政拨款收入支出决算表为空表。</w:t>
      </w:r>
      <w:r>
        <w:rPr>
          <w:rFonts w:hint="eastAsia" w:ascii="楷体" w:hAnsi="楷体" w:eastAsia="楷体" w:cs="楷体"/>
          <w:sz w:val="30"/>
          <w:szCs w:val="30"/>
          <w:highlight w:val="none"/>
          <w:lang w:eastAsia="zh-CN"/>
        </w:rPr>
        <w:br w:type="textWrapping"/>
      </w:r>
      <w:r>
        <w:rPr>
          <w:rFonts w:hint="default" w:ascii="楷体" w:hAnsi="楷体" w:eastAsia="楷体" w:cs="楷体"/>
          <w:sz w:val="30"/>
          <w:szCs w:val="30"/>
          <w:highlight w:val="none"/>
          <w:lang w:val="en" w:eastAsia="zh-CN"/>
        </w:rPr>
        <w:t xml:space="preserve">   </w:t>
      </w:r>
      <w:r>
        <w:rPr>
          <w:rFonts w:hint="eastAsia" w:ascii="楷体" w:hAnsi="楷体" w:eastAsia="楷体" w:cs="楷体"/>
          <w:sz w:val="30"/>
          <w:szCs w:val="30"/>
          <w:highlight w:val="none"/>
          <w:lang w:eastAsia="zh-CN"/>
        </w:rPr>
        <w:t>3.天津市河西区消费者协会2023年度财政拨款“三公”经费支出决算表为空表。</w:t>
      </w:r>
      <w:r>
        <w:rPr>
          <w:rFonts w:hint="eastAsia" w:ascii="楷体" w:hAnsi="楷体" w:eastAsia="楷体" w:cs="楷体"/>
          <w:sz w:val="30"/>
          <w:szCs w:val="30"/>
          <w:highlight w:val="none"/>
          <w:lang w:eastAsia="zh-CN"/>
        </w:rPr>
        <w:br w:type="textWrapping"/>
      </w:r>
      <w:r>
        <w:rPr>
          <w:rFonts w:hint="default" w:ascii="楷体" w:hAnsi="楷体" w:eastAsia="楷体" w:cs="楷体"/>
          <w:sz w:val="30"/>
          <w:szCs w:val="30"/>
          <w:highlight w:val="none"/>
          <w:lang w:val="en" w:eastAsia="zh-CN"/>
        </w:rPr>
        <w:t xml:space="preserve">   </w:t>
      </w:r>
      <w:r>
        <w:rPr>
          <w:rFonts w:hint="eastAsia" w:ascii="楷体" w:hAnsi="楷体" w:eastAsia="楷体" w:cs="楷体"/>
          <w:sz w:val="30"/>
          <w:szCs w:val="30"/>
          <w:highlight w:val="none"/>
          <w:lang w:eastAsia="zh-CN"/>
        </w:rPr>
        <w:t>4.天津市河西区消费者协会2023年度项目支出决算表为空表。</w:t>
      </w:r>
    </w:p>
    <w:p w14:paraId="5625FA6E">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297A7B9F">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3BE8FD72">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36007898">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36116A10">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1F1F7324">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2D7A6854">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59367455">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13603E49">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523420E6">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2D34AE29">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14887362">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68182943">
      <w:pPr>
        <w:keepNext/>
        <w:keepLines/>
        <w:autoSpaceDE w:val="0"/>
        <w:autoSpaceDN w:val="0"/>
        <w:adjustRightInd w:val="0"/>
        <w:spacing w:line="600" w:lineRule="exact"/>
        <w:ind w:firstLine="600"/>
        <w:jc w:val="left"/>
        <w:outlineLvl w:val="1"/>
        <w:rPr>
          <w:rFonts w:hint="eastAsia" w:ascii="Times New Roman" w:hAnsi="Times New Roman" w:eastAsia="方正小标宋简体" w:cs="方正小标宋简体"/>
          <w:kern w:val="44"/>
          <w:sz w:val="44"/>
          <w:szCs w:val="44"/>
          <w:highlight w:val="none"/>
        </w:rPr>
      </w:pPr>
    </w:p>
    <w:p w14:paraId="3D21C028">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第三部分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年度部门决算情况说明</w:t>
      </w:r>
    </w:p>
    <w:p w14:paraId="076B609B">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p>
    <w:p w14:paraId="3DF46696">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lang w:val="zh-CN"/>
        </w:rPr>
      </w:pPr>
      <w:r>
        <w:rPr>
          <w:rFonts w:hint="eastAsia" w:ascii="Times New Roman" w:hAnsi="Times New Roman" w:eastAsia="黑体" w:cs="黑体"/>
          <w:b w:val="0"/>
          <w:bCs w:val="0"/>
          <w:kern w:val="0"/>
          <w:sz w:val="30"/>
          <w:szCs w:val="30"/>
          <w:highlight w:val="none"/>
          <w:lang w:val="zh-CN"/>
        </w:rPr>
        <w:t>一、收入支出决算总体情况说明</w:t>
      </w:r>
    </w:p>
    <w:p w14:paraId="2CB61496">
      <w:pPr>
        <w:autoSpaceDE w:val="0"/>
        <w:autoSpaceDN w:val="0"/>
        <w:adjustRightInd w:val="0"/>
        <w:spacing w:line="600" w:lineRule="exact"/>
        <w:ind w:firstLine="600"/>
        <w:jc w:val="left"/>
        <w:rPr>
          <w:rFonts w:hint="default" w:ascii="Times New Roman" w:hAnsi="Times New Roman" w:eastAsia="仿宋_GB2312" w:cs="仿宋_GB2312"/>
          <w:sz w:val="30"/>
          <w:szCs w:val="30"/>
          <w:highlight w:val="none"/>
          <w:lang w:val="en" w:eastAsia="zh-CN"/>
        </w:rPr>
      </w:pPr>
      <w:r>
        <w:rPr>
          <w:rFonts w:hint="eastAsia" w:ascii="Times New Roman" w:hAnsi="Times New Roman" w:eastAsia="仿宋_GB2312" w:cs="仿宋_GB2312"/>
          <w:sz w:val="30"/>
          <w:szCs w:val="30"/>
          <w:highlight w:val="none"/>
          <w:lang w:val="zh-CN" w:eastAsia="zh-CN"/>
        </w:rPr>
        <w:t>天津市河西区消费者协会2023年度收入、支出决算总计</w:t>
      </w:r>
      <w:r>
        <w:rPr>
          <w:rFonts w:hint="eastAsia" w:ascii="Times New Roman" w:hAnsi="Times New Roman" w:eastAsia="仿宋_GB2312" w:cs="仿宋_GB2312"/>
          <w:sz w:val="30"/>
          <w:szCs w:val="30"/>
          <w:highlight w:val="none"/>
          <w:lang w:eastAsia="zh-CN"/>
        </w:rPr>
        <w:t>709,265.71元，与2022年度相比，收、支总计各增加31,977.30元，增长4.72%，</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w:t>
      </w:r>
    </w:p>
    <w:p w14:paraId="6476FFA9">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二、</w:t>
      </w:r>
      <w:r>
        <w:rPr>
          <w:rFonts w:hint="eastAsia" w:ascii="Times New Roman" w:hAnsi="Times New Roman" w:eastAsia="黑体" w:cs="黑体"/>
          <w:b w:val="0"/>
          <w:bCs w:val="0"/>
          <w:kern w:val="0"/>
          <w:sz w:val="30"/>
          <w:szCs w:val="30"/>
          <w:highlight w:val="none"/>
        </w:rPr>
        <w:t>收入决算情况</w:t>
      </w:r>
      <w:r>
        <w:rPr>
          <w:rFonts w:hint="eastAsia" w:ascii="Times New Roman" w:hAnsi="Times New Roman" w:eastAsia="黑体" w:cs="黑体"/>
          <w:b w:val="0"/>
          <w:bCs w:val="0"/>
          <w:kern w:val="0"/>
          <w:sz w:val="30"/>
          <w:szCs w:val="30"/>
          <w:highlight w:val="none"/>
          <w:lang w:val="zh-CN"/>
        </w:rPr>
        <w:t>说明</w:t>
      </w:r>
    </w:p>
    <w:p w14:paraId="48CCCF17">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w:t>
      </w:r>
      <w:r>
        <w:rPr>
          <w:rFonts w:hint="eastAsia" w:ascii="Times New Roman" w:hAnsi="Times New Roman" w:eastAsia="仿宋_GB2312" w:cs="Times New Roman"/>
          <w:sz w:val="30"/>
          <w:szCs w:val="30"/>
          <w:highlight w:val="none"/>
          <w:lang w:eastAsia="zh-CN"/>
        </w:rPr>
        <w:t>2023</w:t>
      </w:r>
      <w:r>
        <w:rPr>
          <w:rFonts w:hint="eastAsia" w:ascii="Times New Roman" w:hAnsi="Times New Roman" w:eastAsia="仿宋_GB2312" w:cs="仿宋_GB2312"/>
          <w:sz w:val="30"/>
          <w:szCs w:val="30"/>
          <w:highlight w:val="none"/>
          <w:lang w:val="zh-CN"/>
        </w:rPr>
        <w:t>年度本年收入合计</w:t>
      </w:r>
      <w:r>
        <w:rPr>
          <w:rFonts w:hint="eastAsia" w:ascii="Times New Roman" w:hAnsi="Times New Roman" w:eastAsia="仿宋_GB2312" w:cs="Times New Roman"/>
          <w:sz w:val="30"/>
          <w:szCs w:val="30"/>
          <w:highlight w:val="none"/>
          <w:lang w:eastAsia="zh-CN"/>
        </w:rPr>
        <w:t>705,675.71</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eastAsia="zh-CN"/>
        </w:rPr>
        <w:t>增加36,811.27</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lang w:val="zh-CN"/>
        </w:rPr>
        <w:t>主要原因是</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财政拨款增加。</w:t>
      </w:r>
    </w:p>
    <w:p w14:paraId="1CE53BB8">
      <w:pPr>
        <w:autoSpaceDE w:val="0"/>
        <w:autoSpaceDN w:val="0"/>
        <w:adjustRightInd w:val="0"/>
        <w:spacing w:line="600" w:lineRule="exact"/>
        <w:ind w:firstLine="600"/>
        <w:jc w:val="left"/>
        <w:rPr>
          <w:rFonts w:hint="eastAsia" w:ascii="Times New Roman" w:hAnsi="Times New Roman" w:eastAsia="宋体" w:cs="Times New Roman"/>
          <w:sz w:val="30"/>
          <w:szCs w:val="30"/>
          <w:highlight w:val="none"/>
          <w:lang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lang w:val="zh-CN"/>
        </w:rPr>
        <w:t>一般公共预算财政拨款收入</w:t>
      </w:r>
      <w:r>
        <w:rPr>
          <w:rFonts w:hint="eastAsia" w:ascii="Times New Roman" w:hAnsi="Times New Roman" w:eastAsia="仿宋_GB2312" w:cs="Times New Roman"/>
          <w:sz w:val="30"/>
          <w:szCs w:val="30"/>
          <w:highlight w:val="none"/>
          <w:lang w:eastAsia="zh-CN"/>
        </w:rPr>
        <w:t>705,575.71</w:t>
      </w:r>
      <w:r>
        <w:rPr>
          <w:rFonts w:hint="eastAsia" w:ascii="Times New Roman" w:hAnsi="Times New Roman" w:eastAsia="仿宋_GB2312" w:cs="仿宋_GB2312"/>
          <w:sz w:val="30"/>
          <w:szCs w:val="30"/>
          <w:highlight w:val="none"/>
          <w:lang w:val="zh-CN"/>
        </w:rPr>
        <w:t>元</w:t>
      </w:r>
      <w:r>
        <w:rPr>
          <w:rFonts w:ascii="Times New Roman" w:hAnsi="Times New Roman" w:eastAsia="仿宋_GB2312" w:cs="仿宋_GB2312"/>
          <w:sz w:val="30"/>
          <w:szCs w:val="30"/>
          <w:highlight w:val="none"/>
          <w:lang w:val="zh-CN"/>
        </w:rPr>
        <w:t>，占</w:t>
      </w:r>
      <w:r>
        <w:rPr>
          <w:rFonts w:hint="eastAsia" w:ascii="Times New Roman" w:hAnsi="Times New Roman" w:eastAsia="仿宋_GB2312" w:cs="Times New Roman"/>
          <w:sz w:val="30"/>
          <w:szCs w:val="30"/>
          <w:highlight w:val="none"/>
          <w:lang w:eastAsia="zh-CN"/>
        </w:rPr>
        <w:t>99.99</w:t>
      </w:r>
      <w:r>
        <w:rPr>
          <w:rFonts w:hint="eastAsia" w:ascii="Times New Roman" w:hAnsi="Times New Roman" w:eastAsia="宋体" w:cs="Times New Roman"/>
          <w:sz w:val="30"/>
          <w:szCs w:val="30"/>
          <w:highlight w:val="none"/>
          <w:lang w:eastAsia="zh-CN"/>
        </w:rPr>
        <w:t>%；</w:t>
      </w:r>
    </w:p>
    <w:p w14:paraId="0EFCFAAD">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政府性基金预算财政拨款收入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1D5CA28D">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国有资本经营预算财政拨款收入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207327AA">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财政专户管理资金收入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5EAB9D61">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607A243A">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事业单位经营收入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50F7F034">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上级补助收入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67594A25">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eastAsia="仿宋_GB2312"/>
          <w:sz w:val="30"/>
          <w:szCs w:val="30"/>
          <w:highlight w:val="none"/>
        </w:rPr>
        <w:t>附属单位上缴收入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3B777DF1">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en-US" w:eastAsia="zh-CN"/>
        </w:rPr>
      </w:pPr>
      <w:r>
        <w:rPr>
          <w:rFonts w:ascii="Times New Roman" w:hAnsi="Times New Roman" w:eastAsia="仿宋_GB2312" w:cs="仿宋_GB2312"/>
          <w:sz w:val="30"/>
          <w:szCs w:val="30"/>
          <w:highlight w:val="none"/>
          <w:lang w:val="zh-CN"/>
        </w:rPr>
        <w:t>其他收入</w:t>
      </w:r>
      <w:r>
        <w:rPr>
          <w:rFonts w:hint="eastAsia" w:ascii="Times New Roman" w:hAnsi="Times New Roman" w:eastAsia="仿宋_GB2312" w:cs="仿宋_GB2312"/>
          <w:sz w:val="30"/>
          <w:szCs w:val="30"/>
          <w:highlight w:val="none"/>
          <w:lang w:val="zh-CN"/>
        </w:rPr>
        <w:t>100.00元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0.01%</w:t>
      </w:r>
      <w:r>
        <w:rPr>
          <w:rFonts w:hint="eastAsia" w:ascii="Times New Roman" w:hAnsi="Times New Roman" w:eastAsia="仿宋_GB2312" w:cs="仿宋_GB2312"/>
          <w:sz w:val="30"/>
          <w:szCs w:val="30"/>
          <w:highlight w:val="none"/>
          <w:lang w:val="zh-CN" w:eastAsia="zh-CN"/>
        </w:rPr>
        <w:t>。</w:t>
      </w:r>
    </w:p>
    <w:p w14:paraId="301FE56F">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三、支出</w:t>
      </w:r>
      <w:r>
        <w:rPr>
          <w:rFonts w:hint="eastAsia" w:ascii="Times New Roman" w:hAnsi="Times New Roman" w:eastAsia="黑体" w:cs="黑体"/>
          <w:b w:val="0"/>
          <w:bCs w:val="0"/>
          <w:kern w:val="0"/>
          <w:sz w:val="30"/>
          <w:szCs w:val="30"/>
          <w:highlight w:val="none"/>
        </w:rPr>
        <w:t>决算情况说明</w:t>
      </w:r>
    </w:p>
    <w:p w14:paraId="71D95595">
      <w:pPr>
        <w:autoSpaceDE w:val="0"/>
        <w:autoSpaceDN w:val="0"/>
        <w:adjustRightInd w:val="0"/>
        <w:spacing w:line="58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年度本年支出合计</w:t>
      </w:r>
      <w:r>
        <w:rPr>
          <w:rFonts w:hint="eastAsia" w:ascii="Times New Roman" w:hAnsi="Times New Roman" w:eastAsia="仿宋_GB2312" w:cs="仿宋_GB2312"/>
          <w:sz w:val="30"/>
          <w:szCs w:val="30"/>
          <w:highlight w:val="none"/>
          <w:lang w:eastAsia="zh-CN"/>
        </w:rPr>
        <w:t>709,265.71</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31,977.30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lang w:eastAsia="zh-CN"/>
        </w:rPr>
        <w:t>财政拨款增加，人员支出增加。</w:t>
      </w:r>
    </w:p>
    <w:p w14:paraId="20F49EAF">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rPr>
        <w:t>基本支出</w:t>
      </w:r>
      <w:r>
        <w:rPr>
          <w:rFonts w:hint="eastAsia" w:ascii="Times New Roman" w:hAnsi="Times New Roman" w:eastAsia="仿宋_GB2312" w:cs="仿宋_GB2312"/>
          <w:sz w:val="30"/>
          <w:szCs w:val="30"/>
          <w:highlight w:val="none"/>
          <w:lang w:eastAsia="zh-CN"/>
        </w:rPr>
        <w:t>709,265.71元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w:t>
      </w:r>
      <w:r>
        <w:rPr>
          <w:rFonts w:hint="eastAsia" w:ascii="Times New Roman" w:hAnsi="Times New Roman" w:eastAsia="仿宋_GB2312" w:cs="仿宋_GB2312"/>
          <w:sz w:val="30"/>
          <w:szCs w:val="30"/>
          <w:highlight w:val="none"/>
          <w:lang w:val="en-US" w:eastAsia="zh-CN"/>
        </w:rPr>
        <w:t>100.0</w:t>
      </w:r>
      <w:r>
        <w:rPr>
          <w:rFonts w:hint="eastAsia" w:ascii="Times New Roman" w:hAnsi="Times New Roman" w:eastAsia="仿宋_GB2312" w:cs="仿宋_GB2312"/>
          <w:sz w:val="30"/>
          <w:szCs w:val="30"/>
          <w:highlight w:val="none"/>
          <w:lang w:eastAsia="zh-CN"/>
        </w:rPr>
        <w:t>%；</w:t>
      </w:r>
    </w:p>
    <w:p w14:paraId="677430F8">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项目支出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49FF6FDF">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上缴上级支出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231ACBED">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经营支出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4D62E9CA">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r>
        <w:rPr>
          <w:rFonts w:ascii="Times New Roman" w:hAnsi="Times New Roman" w:eastAsia="仿宋_GB2312" w:cs="仿宋_GB2312"/>
          <w:sz w:val="30"/>
          <w:szCs w:val="30"/>
          <w:highlight w:val="none"/>
        </w:rPr>
        <w:t>对附属单位补助支出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1C54399C">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val="0"/>
          <w:bCs w:val="0"/>
          <w:kern w:val="0"/>
          <w:sz w:val="30"/>
          <w:szCs w:val="30"/>
          <w:highlight w:val="none"/>
          <w:lang w:val="zh-CN"/>
        </w:rPr>
        <w:t>四、财政拨款收支决算总体情况说明</w:t>
      </w:r>
    </w:p>
    <w:p w14:paraId="13E74B04">
      <w:pPr>
        <w:autoSpaceDE w:val="0"/>
        <w:autoSpaceDN w:val="0"/>
        <w:adjustRightInd w:val="0"/>
        <w:spacing w:line="58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lang w:eastAsia="zh-CN"/>
        </w:rPr>
        <w:t>天津市河西区消费者协会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年度财政拨款收入、支出决算总计</w:t>
      </w:r>
      <w:r>
        <w:rPr>
          <w:rFonts w:hint="eastAsia" w:ascii="Times New Roman" w:hAnsi="Times New Roman" w:eastAsia="仿宋_GB2312" w:cs="Times New Roman"/>
          <w:sz w:val="30"/>
          <w:szCs w:val="30"/>
          <w:highlight w:val="none"/>
          <w:lang w:val="zh-CN"/>
        </w:rPr>
        <w:t>705,575.71</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年度相比，财政拨款收、支总计各</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37,092.49</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5.55</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lang w:eastAsia="zh-CN"/>
        </w:rPr>
        <w:t>财政拨款增加。</w:t>
      </w:r>
    </w:p>
    <w:p w14:paraId="36ACDDD8">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lang w:val="zh-CN"/>
        </w:rPr>
      </w:pPr>
      <w:r>
        <w:rPr>
          <w:rFonts w:hint="eastAsia" w:ascii="Times New Roman" w:hAnsi="Times New Roman" w:eastAsia="黑体" w:cs="黑体"/>
          <w:b w:val="0"/>
          <w:bCs w:val="0"/>
          <w:kern w:val="0"/>
          <w:sz w:val="30"/>
          <w:szCs w:val="30"/>
          <w:highlight w:val="none"/>
          <w:lang w:val="zh-CN"/>
        </w:rPr>
        <w:t>五、一般公共预算财政拨款支出决算情况说明</w:t>
      </w:r>
    </w:p>
    <w:p w14:paraId="302E7EE5">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（一）总体情况</w:t>
      </w:r>
    </w:p>
    <w:p w14:paraId="3E64F775">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天津市河西区消费者协会2023年度部门决算一般公共预算财政拨款支出</w:t>
      </w:r>
      <w:r>
        <w:rPr>
          <w:rFonts w:hint="eastAsia" w:ascii="Times New Roman" w:hAnsi="Times New Roman" w:eastAsia="仿宋_GB2312" w:cs="仿宋_GB2312"/>
          <w:sz w:val="30"/>
          <w:szCs w:val="30"/>
          <w:highlight w:val="none"/>
          <w:lang w:val="zh-CN" w:eastAsia="zh-CN"/>
        </w:rPr>
        <w:t>合</w:t>
      </w:r>
      <w:r>
        <w:rPr>
          <w:rFonts w:hint="eastAsia" w:ascii="Times New Roman" w:hAnsi="Times New Roman" w:eastAsia="仿宋_GB2312" w:cs="仿宋_GB2312"/>
          <w:sz w:val="30"/>
          <w:szCs w:val="30"/>
          <w:highlight w:val="none"/>
          <w:lang w:eastAsia="zh-CN"/>
        </w:rPr>
        <w:t>计705,575.71元，占本年支出合计的99.48%，与2022年度相比，一般公共预算财政拨款支出</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37,092.49元，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5.55%，</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：财政拨款增加，人员支出增加。</w:t>
      </w:r>
    </w:p>
    <w:p w14:paraId="735E3168">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w:t>
      </w:r>
      <w:r>
        <w:rPr>
          <w:rFonts w:hint="eastAsia" w:ascii="Times New Roman" w:hAnsi="Times New Roman" w:eastAsia="楷体" w:cs="楷体"/>
          <w:b/>
          <w:bCs/>
          <w:kern w:val="0"/>
          <w:sz w:val="30"/>
          <w:szCs w:val="30"/>
          <w:highlight w:val="none"/>
          <w:lang w:val="zh-CN"/>
        </w:rPr>
        <w:t>支出结构</w:t>
      </w:r>
      <w:r>
        <w:rPr>
          <w:rFonts w:hint="eastAsia" w:ascii="Times New Roman" w:hAnsi="Times New Roman" w:eastAsia="楷体" w:cs="楷体"/>
          <w:b/>
          <w:bCs/>
          <w:kern w:val="0"/>
          <w:sz w:val="30"/>
          <w:szCs w:val="30"/>
          <w:highlight w:val="none"/>
        </w:rPr>
        <w:t>情况</w:t>
      </w:r>
    </w:p>
    <w:p w14:paraId="06B69E3D">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2023</w:t>
      </w:r>
      <w:r>
        <w:rPr>
          <w:rFonts w:hint="eastAsia" w:ascii="Times New Roman" w:hAnsi="Times New Roman" w:eastAsia="仿宋_GB2312" w:cs="仿宋_GB2312"/>
          <w:sz w:val="30"/>
          <w:szCs w:val="30"/>
          <w:highlight w:val="none"/>
        </w:rPr>
        <w:t>年度一般公共预算财政拨款支出</w:t>
      </w:r>
      <w:r>
        <w:rPr>
          <w:rFonts w:hint="eastAsia" w:ascii="Times New Roman" w:hAnsi="Times New Roman" w:eastAsia="仿宋_GB2312" w:cs="Times New Roman"/>
          <w:sz w:val="30"/>
          <w:szCs w:val="30"/>
          <w:highlight w:val="none"/>
          <w:lang w:eastAsia="zh-CN"/>
        </w:rPr>
        <w:t>705,575.71</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主要用于以下方面：</w:t>
      </w:r>
      <w:r>
        <w:rPr>
          <w:rFonts w:hint="eastAsia" w:ascii="Times New Roman" w:hAnsi="Times New Roman" w:eastAsia="仿宋_GB2312" w:cs="仿宋_GB2312"/>
          <w:sz w:val="30"/>
          <w:szCs w:val="30"/>
          <w:highlight w:val="none"/>
          <w:lang w:eastAsia="zh-CN"/>
        </w:rPr>
        <w:t>一般公共服务支出（类）支出610</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552.49元，占86.53%，社会保障和就业支出（类）支出64</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638.40元，占9.16%，卫生健康支出（类）支出30</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384.82元，占4.31%。</w:t>
      </w:r>
    </w:p>
    <w:p w14:paraId="3474A06F">
      <w:pPr>
        <w:autoSpaceDE w:val="0"/>
        <w:autoSpaceDN w:val="0"/>
        <w:adjustRightInd w:val="0"/>
        <w:spacing w:line="600" w:lineRule="exact"/>
        <w:ind w:left="480"/>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（三）具体情况</w:t>
      </w:r>
    </w:p>
    <w:p w14:paraId="0AFF448D">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eastAsia="zh-CN"/>
        </w:rPr>
        <w:t>2023</w:t>
      </w:r>
      <w:r>
        <w:rPr>
          <w:rFonts w:hint="eastAsia" w:ascii="Times New Roman" w:hAnsi="Times New Roman" w:eastAsia="仿宋_GB2312" w:cs="仿宋_GB2312"/>
          <w:kern w:val="0"/>
          <w:sz w:val="30"/>
          <w:szCs w:val="30"/>
          <w:highlight w:val="none"/>
        </w:rPr>
        <w:t>年度一般公共预算财政拨款支出年初预算为</w:t>
      </w:r>
      <w:r>
        <w:rPr>
          <w:rFonts w:hint="eastAsia" w:ascii="Times New Roman" w:hAnsi="Times New Roman" w:eastAsia="仿宋_GB2312" w:cs="Times New Roman"/>
          <w:sz w:val="30"/>
          <w:szCs w:val="30"/>
          <w:highlight w:val="none"/>
          <w:lang w:eastAsia="zh-CN"/>
        </w:rPr>
        <w:t>632,187.10</w:t>
      </w:r>
      <w:r>
        <w:rPr>
          <w:rFonts w:hint="eastAsia" w:ascii="Times New Roman" w:hAnsi="Times New Roman" w:eastAsia="仿宋_GB2312" w:cs="仿宋_GB2312"/>
          <w:kern w:val="0"/>
          <w:sz w:val="30"/>
          <w:szCs w:val="30"/>
          <w:highlight w:val="none"/>
        </w:rPr>
        <w:t>元，支出决算为</w:t>
      </w:r>
      <w:r>
        <w:rPr>
          <w:rFonts w:hint="eastAsia" w:ascii="Times New Roman" w:hAnsi="Times New Roman" w:eastAsia="仿宋_GB2312" w:cs="Times New Roman"/>
          <w:sz w:val="30"/>
          <w:szCs w:val="30"/>
          <w:highlight w:val="none"/>
          <w:lang w:eastAsia="zh-CN"/>
        </w:rPr>
        <w:t>705,575.71</w:t>
      </w:r>
      <w:r>
        <w:rPr>
          <w:rFonts w:hint="eastAsia" w:ascii="Times New Roman" w:hAnsi="Times New Roman" w:eastAsia="仿宋_GB2312" w:cs="仿宋_GB2312"/>
          <w:kern w:val="0"/>
          <w:sz w:val="30"/>
          <w:szCs w:val="30"/>
          <w:highlight w:val="none"/>
        </w:rPr>
        <w:t>元，完成年初预算的</w:t>
      </w:r>
      <w:r>
        <w:rPr>
          <w:rFonts w:hint="eastAsia" w:ascii="Times New Roman" w:hAnsi="Times New Roman" w:eastAsia="仿宋_GB2312" w:cs="Times New Roman"/>
          <w:sz w:val="30"/>
          <w:szCs w:val="30"/>
          <w:highlight w:val="none"/>
          <w:lang w:eastAsia="zh-CN"/>
        </w:rPr>
        <w:t>111.61%</w:t>
      </w:r>
      <w:r>
        <w:rPr>
          <w:rFonts w:hint="eastAsia" w:ascii="Times New Roman" w:hAnsi="Times New Roman" w:eastAsia="仿宋_GB2312" w:cs="仿宋_GB2312"/>
          <w:kern w:val="0"/>
          <w:sz w:val="30"/>
          <w:szCs w:val="30"/>
          <w:highlight w:val="none"/>
        </w:rPr>
        <w:t>。其中：</w:t>
      </w:r>
    </w:p>
    <w:p w14:paraId="3A208511">
      <w:pPr>
        <w:autoSpaceDE w:val="0"/>
        <w:autoSpaceDN w:val="0"/>
        <w:adjustRightInd w:val="0"/>
        <w:spacing w:line="600" w:lineRule="exact"/>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 xml:space="preserve"> 1. 一般公共服务支出（类）市场监督管理事务（款）事业运行（项）年初预算为526</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826.38元，支出决算为610</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552.49元，完成年初预算的115.89%，决算数大于年初预算数的主要原因是人员经费增加。</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2. 社会保障和就业支出（类）行政事业单位养老支出（款）机关事业单位基本养老保险缴费支出（项）年初预算为42</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677.76元，支出决算为43</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089.60元，完成年初预算的100.96%，决算数大于年初预算数的主要原因是人员经费增加。</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3. 社会保障和就业支出（类）行政事业单位养老支出（款）机关事业单位职业年金缴费支出（项）年初预算为21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338.88元，支出决算为21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548.80元，完成年初预算的100.98%，决算数大于年初预算数的主要原因是人员经费增加。</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4. 卫生健康支出（类）行政事业单位医疗（款）事业单位医疗（项）年初预算为41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344.08元，支出决算为30</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384.82元，完成年初预算的73.49%，决算数小于年初预算数的主要原因是厉行节约。</w:t>
      </w:r>
    </w:p>
    <w:p w14:paraId="4181B105">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六、一般公共预算财政拨款基本支出决算情况说明</w:t>
      </w:r>
    </w:p>
    <w:p w14:paraId="7C59BCE6">
      <w:pPr>
        <w:autoSpaceDE w:val="0"/>
        <w:autoSpaceDN w:val="0"/>
        <w:adjustRightInd w:val="0"/>
        <w:spacing w:line="600" w:lineRule="exact"/>
        <w:ind w:firstLine="72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天津市河西区消费者协会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年度部门决算一般公共预算财政拨款基本支出合计</w:t>
      </w:r>
      <w:r>
        <w:rPr>
          <w:rFonts w:hint="eastAsia" w:ascii="Times New Roman" w:hAnsi="Times New Roman" w:eastAsia="仿宋_GB2312" w:cs="Times New Roman"/>
          <w:sz w:val="30"/>
          <w:szCs w:val="30"/>
          <w:highlight w:val="none"/>
          <w:lang w:eastAsia="zh-CN"/>
        </w:rPr>
        <w:t>705,575.71</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37,092.49</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rPr>
        <w:t>：</w:t>
      </w:r>
      <w:r>
        <w:rPr>
          <w:rFonts w:hint="eastAsia" w:ascii="Times New Roman" w:hAnsi="Times New Roman" w:eastAsia="仿宋_GB2312" w:cs="仿宋_GB2312"/>
          <w:sz w:val="30"/>
          <w:szCs w:val="30"/>
          <w:highlight w:val="none"/>
          <w:lang w:eastAsia="zh-CN"/>
        </w:rPr>
        <w:t>财政拨款增加。</w:t>
      </w:r>
      <w:r>
        <w:rPr>
          <w:rFonts w:hint="eastAsia" w:ascii="Times New Roman" w:hAnsi="Times New Roman" w:eastAsia="仿宋_GB2312" w:cs="仿宋_GB2312"/>
          <w:kern w:val="0"/>
          <w:sz w:val="30"/>
          <w:szCs w:val="30"/>
          <w:highlight w:val="none"/>
        </w:rPr>
        <w:t>其中：</w:t>
      </w:r>
    </w:p>
    <w:p w14:paraId="1B252B66">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人员经费</w:t>
      </w:r>
      <w:r>
        <w:rPr>
          <w:rFonts w:hint="eastAsia" w:ascii="Times New Roman" w:hAnsi="Times New Roman" w:eastAsia="仿宋_GB2312" w:cs="Times New Roman"/>
          <w:sz w:val="30"/>
          <w:szCs w:val="30"/>
          <w:highlight w:val="none"/>
          <w:lang w:eastAsia="zh-CN"/>
        </w:rPr>
        <w:t>688,658.12</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基本工资、津贴补贴、奖金、绩效工资、机关事业单位基本养老保险缴费、职业年金缴费、职工基本医疗保险缴费、其他社会保障缴费、住房公积金、其他工资福利支出、退休费、抚恤金、医疗费补助、奖励金。</w:t>
      </w:r>
    </w:p>
    <w:p w14:paraId="13B98EE3">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公用经费</w:t>
      </w:r>
      <w:r>
        <w:rPr>
          <w:rFonts w:hint="eastAsia" w:ascii="Times New Roman" w:hAnsi="Times New Roman" w:eastAsia="仿宋_GB2312" w:cs="Times New Roman"/>
          <w:sz w:val="30"/>
          <w:szCs w:val="30"/>
          <w:highlight w:val="none"/>
          <w:lang w:eastAsia="zh-CN"/>
        </w:rPr>
        <w:t>16,917.59</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办公费、手续费、工会经费、福利费、税金及附加费用。</w:t>
      </w:r>
      <w:bookmarkStart w:id="0" w:name="_GoBack"/>
      <w:bookmarkEnd w:id="0"/>
    </w:p>
    <w:p w14:paraId="1648B020">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七、政府性基金预算财政拨款收支决算情况</w:t>
      </w:r>
    </w:p>
    <w:p w14:paraId="05B0C0E3">
      <w:pPr>
        <w:autoSpaceDE w:val="0"/>
        <w:autoSpaceDN w:val="0"/>
        <w:adjustRightInd w:val="0"/>
        <w:spacing w:line="58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天津市河西区消费者协会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年度部门决算政府性基金预算财政拨款</w:t>
      </w:r>
      <w:r>
        <w:rPr>
          <w:rFonts w:hint="eastAsia" w:ascii="Times New Roman" w:hAnsi="Times New Roman" w:eastAsia="仿宋_GB2312" w:cs="仿宋_GB2312"/>
          <w:kern w:val="0"/>
          <w:sz w:val="30"/>
          <w:szCs w:val="30"/>
          <w:highlight w:val="none"/>
        </w:rPr>
        <w:t>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rPr>
        <w:t>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元，年末结转和结余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年度相比，政府性基金财政拨款支出</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sz w:val="30"/>
          <w:szCs w:val="30"/>
          <w:highlight w:val="none"/>
          <w:lang w:eastAsia="zh-CN"/>
        </w:rPr>
        <w:t>0.00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sz w:val="30"/>
          <w:szCs w:val="30"/>
          <w:highlight w:val="none"/>
          <w:lang w:eastAsia="zh-CN"/>
        </w:rPr>
        <w:t>0.0%</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14:paraId="385715B1">
      <w:pPr>
        <w:autoSpaceDE w:val="0"/>
        <w:autoSpaceDN w:val="0"/>
        <w:adjustRightInd w:val="0"/>
        <w:spacing w:line="600" w:lineRule="exact"/>
        <w:ind w:firstLine="600"/>
        <w:jc w:val="left"/>
        <w:rPr>
          <w:rFonts w:hint="default" w:ascii="Times New Roman" w:hAnsi="Times New Roman" w:eastAsia="楷体" w:cs="楷体"/>
          <w:kern w:val="0"/>
          <w:sz w:val="30"/>
          <w:szCs w:val="30"/>
          <w:highlight w:val="none"/>
          <w:lang w:val="en-US"/>
        </w:rPr>
      </w:pPr>
      <w:r>
        <w:rPr>
          <w:rFonts w:hint="eastAsia" w:ascii="Times New Roman" w:hAnsi="Times New Roman" w:eastAsia="仿宋_GB2312" w:cs="仿宋_GB2312"/>
          <w:sz w:val="30"/>
          <w:szCs w:val="30"/>
          <w:highlight w:val="none"/>
          <w:lang w:eastAsia="zh-CN"/>
        </w:rPr>
        <w:t>天津市河西区消费者协会2023年度无政府性基金预算财政拨款收入、支出和结转结余。</w:t>
      </w:r>
      <w:r>
        <w:rPr>
          <w:rFonts w:hint="eastAsia" w:ascii="Times New Roman" w:hAnsi="Times New Roman" w:eastAsia="仿宋_GB2312" w:cs="仿宋_GB2312"/>
          <w:sz w:val="30"/>
          <w:szCs w:val="30"/>
          <w:highlight w:val="none"/>
          <w:lang w:val="en-US" w:eastAsia="zh-CN"/>
        </w:rPr>
        <w:tab/>
      </w:r>
    </w:p>
    <w:p w14:paraId="050FC24C">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八、国有资本经营预算财政拨款收支决算情况说明</w:t>
      </w:r>
    </w:p>
    <w:p w14:paraId="34A7FE9D">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天津市河西区消费者协会</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kern w:val="0"/>
          <w:sz w:val="30"/>
          <w:szCs w:val="30"/>
          <w:highlight w:val="none"/>
        </w:rPr>
        <w:t>年度部门决算国有资本经营预算财政拨款年初结转和结余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元，年末结余和结余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元。与</w:t>
      </w:r>
      <w:r>
        <w:rPr>
          <w:rFonts w:hint="eastAsia" w:ascii="Times New Roman" w:hAnsi="Times New Roman" w:eastAsia="仿宋_GB2312" w:cs="仿宋_GB2312"/>
          <w:kern w:val="0"/>
          <w:sz w:val="30"/>
          <w:szCs w:val="30"/>
          <w:highlight w:val="none"/>
          <w:lang w:eastAsia="zh-CN"/>
        </w:rPr>
        <w:t>2022</w:t>
      </w:r>
      <w:r>
        <w:rPr>
          <w:rFonts w:hint="eastAsia" w:ascii="Times New Roman" w:hAnsi="Times New Roman" w:eastAsia="仿宋_GB2312" w:cs="仿宋_GB2312"/>
          <w:kern w:val="0"/>
          <w:sz w:val="30"/>
          <w:szCs w:val="30"/>
          <w:highlight w:val="none"/>
        </w:rPr>
        <w:t>年度相比，国有资本经营预算财政拨款支出</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14:paraId="797430D7">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天津市河西区消费者协会2023年度无国有资本经营预算财政拨款收入、支出和结转结余。</w:t>
      </w:r>
    </w:p>
    <w:p w14:paraId="0148EB86">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九、财政拨款</w:t>
      </w:r>
      <w:r>
        <w:rPr>
          <w:rFonts w:ascii="Times New Roman" w:hAnsi="Times New Roman" w:eastAsia="黑体" w:cs="黑体"/>
          <w:b w:val="0"/>
          <w:bCs w:val="0"/>
          <w:kern w:val="0"/>
          <w:sz w:val="30"/>
          <w:szCs w:val="30"/>
          <w:highlight w:val="none"/>
        </w:rPr>
        <w:t>“</w:t>
      </w:r>
      <w:r>
        <w:rPr>
          <w:rFonts w:hint="eastAsia" w:ascii="Times New Roman" w:hAnsi="Times New Roman" w:eastAsia="黑体" w:cs="黑体"/>
          <w:b w:val="0"/>
          <w:bCs w:val="0"/>
          <w:kern w:val="0"/>
          <w:sz w:val="30"/>
          <w:szCs w:val="30"/>
          <w:highlight w:val="none"/>
        </w:rPr>
        <w:t>三公</w:t>
      </w:r>
      <w:r>
        <w:rPr>
          <w:rFonts w:ascii="Times New Roman" w:hAnsi="Times New Roman" w:eastAsia="黑体" w:cs="黑体"/>
          <w:b w:val="0"/>
          <w:bCs w:val="0"/>
          <w:kern w:val="0"/>
          <w:sz w:val="30"/>
          <w:szCs w:val="30"/>
          <w:highlight w:val="none"/>
        </w:rPr>
        <w:t>”</w:t>
      </w:r>
      <w:r>
        <w:rPr>
          <w:rFonts w:hint="eastAsia" w:ascii="Times New Roman" w:hAnsi="Times New Roman" w:eastAsia="黑体" w:cs="黑体"/>
          <w:b w:val="0"/>
          <w:bCs w:val="0"/>
          <w:kern w:val="0"/>
          <w:sz w:val="30"/>
          <w:szCs w:val="30"/>
          <w:highlight w:val="none"/>
        </w:rPr>
        <w:t>经费</w:t>
      </w:r>
      <w:r>
        <w:rPr>
          <w:rFonts w:hint="eastAsia" w:ascii="Times New Roman" w:hAnsi="Times New Roman" w:eastAsia="黑体" w:cs="黑体"/>
          <w:b w:val="0"/>
          <w:bCs w:val="0"/>
          <w:kern w:val="0"/>
          <w:sz w:val="30"/>
          <w:szCs w:val="30"/>
          <w:highlight w:val="none"/>
          <w:lang w:val="zh-CN"/>
        </w:rPr>
        <w:t>支出决算</w:t>
      </w:r>
      <w:r>
        <w:rPr>
          <w:rFonts w:hint="eastAsia" w:ascii="Times New Roman" w:hAnsi="Times New Roman" w:eastAsia="黑体" w:cs="黑体"/>
          <w:b w:val="0"/>
          <w:bCs w:val="0"/>
          <w:kern w:val="0"/>
          <w:sz w:val="30"/>
          <w:szCs w:val="30"/>
          <w:highlight w:val="none"/>
        </w:rPr>
        <w:t>情况</w:t>
      </w:r>
    </w:p>
    <w:p w14:paraId="7257442D">
      <w:pPr>
        <w:autoSpaceDE w:val="0"/>
        <w:autoSpaceDN w:val="0"/>
        <w:adjustRightInd w:val="0"/>
        <w:spacing w:line="600" w:lineRule="exact"/>
        <w:ind w:firstLine="602"/>
        <w:jc w:val="left"/>
        <w:rPr>
          <w:rFonts w:hint="default" w:ascii="Times New Roman" w:hAnsi="Times New Roman" w:eastAsia="楷体" w:cs="楷体"/>
          <w:b/>
          <w:bCs/>
          <w:kern w:val="0"/>
          <w:sz w:val="30"/>
          <w:szCs w:val="30"/>
          <w:highlight w:val="none"/>
          <w:lang w:val="en-US" w:eastAsia="zh-CN"/>
        </w:rPr>
      </w:pPr>
      <w:r>
        <w:rPr>
          <w:rFonts w:hint="eastAsia" w:ascii="Times New Roman" w:hAnsi="Times New Roman" w:eastAsia="楷体" w:cs="楷体"/>
          <w:b/>
          <w:bCs/>
          <w:kern w:val="0"/>
          <w:sz w:val="30"/>
          <w:szCs w:val="30"/>
          <w:highlight w:val="none"/>
        </w:rPr>
        <w:t>（一）总体情况</w:t>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p>
    <w:p w14:paraId="7A2E13E9">
      <w:pPr>
        <w:autoSpaceDE w:val="0"/>
        <w:autoSpaceDN w:val="0"/>
        <w:adjustRightInd w:val="0"/>
        <w:spacing w:line="600" w:lineRule="exact"/>
        <w:ind w:firstLine="600"/>
        <w:jc w:val="left"/>
        <w:rPr>
          <w:rFonts w:hint="default" w:ascii="Times New Roman" w:hAnsi="Times New Roman" w:eastAsia="仿宋_GB2312" w:cs="Times New Roman"/>
          <w:kern w:val="0"/>
          <w:sz w:val="30"/>
          <w:szCs w:val="30"/>
          <w:highlight w:val="none"/>
          <w:lang w:val="en-US"/>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本年度未用财政拨款经费列支三公经费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本年度未用财政拨款经费列支三公经费。</w:t>
      </w:r>
    </w:p>
    <w:p w14:paraId="513E6370">
      <w:pPr>
        <w:autoSpaceDE w:val="0"/>
        <w:autoSpaceDN w:val="0"/>
        <w:adjustRightInd w:val="0"/>
        <w:spacing w:line="600" w:lineRule="exact"/>
        <w:ind w:firstLine="602"/>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（二）具体情况</w:t>
      </w:r>
    </w:p>
    <w:p w14:paraId="3B2547A1">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1.</w:t>
      </w:r>
      <w:r>
        <w:rPr>
          <w:rFonts w:hint="eastAsia" w:ascii="Times New Roman" w:hAnsi="Times New Roman" w:eastAsia="仿宋_GB2312" w:cs="仿宋_GB2312"/>
          <w:kern w:val="0"/>
          <w:sz w:val="30"/>
          <w:szCs w:val="30"/>
          <w:highlight w:val="none"/>
        </w:rPr>
        <w:t>因公出国（境）费预算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本年度未用财政拨款经费列支因公出国（境）费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本年度未用财政拨款经费列支因公出国（境）费。</w:t>
      </w:r>
    </w:p>
    <w:p w14:paraId="75AFC90A">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年本单位组织的出国团组</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个，出国</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14:paraId="1A8F710F">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公务用车购置及运行维护费预算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本年度未用财政拨款经费列支公务用车购置及运行维护费</w:t>
      </w:r>
      <w:r>
        <w:rPr>
          <w:rFonts w:hint="eastAsia" w:ascii="Times New Roman" w:hAnsi="Times New Roman" w:eastAsia="仿宋_GB2312" w:cs="仿宋_GB2312"/>
          <w:kern w:val="0"/>
          <w:sz w:val="30"/>
          <w:szCs w:val="30"/>
          <w:highlight w:val="none"/>
          <w:lang w:eastAsia="zh-CN"/>
        </w:rPr>
        <w:t>；</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本年度未用财政拨款经费列支公务用车购置及运行维护费。</w:t>
      </w:r>
      <w:r>
        <w:rPr>
          <w:rFonts w:hint="eastAsia" w:ascii="Times New Roman" w:hAnsi="Times New Roman" w:eastAsia="仿宋_GB2312" w:cs="仿宋_GB2312"/>
          <w:kern w:val="0"/>
          <w:sz w:val="30"/>
          <w:szCs w:val="30"/>
          <w:highlight w:val="none"/>
        </w:rPr>
        <w:t>其中：</w:t>
      </w:r>
    </w:p>
    <w:p w14:paraId="4E0B8CE4">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公务用车运行维护费预算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本年度未用财政拨款经费列支公务用车运行维护费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本年度未用财政拨款经费列支公务用车运行维护费。</w:t>
      </w:r>
    </w:p>
    <w:p w14:paraId="56B23130">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截至</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w:t>
      </w:r>
      <w:r>
        <w:rPr>
          <w:rFonts w:ascii="Times New Roman" w:hAnsi="Times New Roman" w:eastAsia="仿宋_GB2312" w:cs="仿宋_GB2312"/>
          <w:kern w:val="0"/>
          <w:sz w:val="30"/>
          <w:szCs w:val="30"/>
          <w:highlight w:val="none"/>
        </w:rPr>
        <w:t>12</w:t>
      </w:r>
      <w:r>
        <w:rPr>
          <w:rFonts w:hint="eastAsia" w:ascii="Times New Roman" w:hAnsi="Times New Roman" w:eastAsia="仿宋_GB2312" w:cs="仿宋_GB2312"/>
          <w:kern w:val="0"/>
          <w:sz w:val="30"/>
          <w:szCs w:val="30"/>
          <w:highlight w:val="none"/>
        </w:rPr>
        <w:t>月</w:t>
      </w:r>
      <w:r>
        <w:rPr>
          <w:rFonts w:ascii="Times New Roman" w:hAnsi="Times New Roman" w:eastAsia="仿宋_GB2312" w:cs="仿宋_GB2312"/>
          <w:kern w:val="0"/>
          <w:sz w:val="30"/>
          <w:szCs w:val="30"/>
          <w:highlight w:val="none"/>
        </w:rPr>
        <w:t>31</w:t>
      </w:r>
      <w:r>
        <w:rPr>
          <w:rFonts w:hint="eastAsia" w:ascii="Times New Roman" w:hAnsi="Times New Roman" w:eastAsia="仿宋_GB2312" w:cs="仿宋_GB2312"/>
          <w:kern w:val="0"/>
          <w:sz w:val="30"/>
          <w:szCs w:val="30"/>
          <w:highlight w:val="none"/>
        </w:rPr>
        <w:t>日，使用财政拨款开支运行维护费的公务用车保有量为</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14:paraId="5A100BE0">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公务用车购置费预算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本年度未用财政拨款经费列支公务用车购置费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本年度未用财政拨款经费列支公务用车购置费。</w:t>
      </w:r>
    </w:p>
    <w:p w14:paraId="6A8E17D1">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年购置公务用车</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14:paraId="58FCE39E">
      <w:pPr>
        <w:autoSpaceDE w:val="0"/>
        <w:autoSpaceDN w:val="0"/>
        <w:adjustRightInd w:val="0"/>
        <w:spacing w:line="600" w:lineRule="exact"/>
        <w:ind w:firstLine="645"/>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公务接待费预算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本年度未用财政拨款经费列支公务接待费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本年度未用财政拨款经费列支公务接待费。</w:t>
      </w:r>
    </w:p>
    <w:p w14:paraId="61193F81">
      <w:pPr>
        <w:autoSpaceDE w:val="0"/>
        <w:autoSpaceDN w:val="0"/>
        <w:adjustRightInd w:val="0"/>
        <w:spacing w:line="600" w:lineRule="exact"/>
        <w:ind w:firstLine="645"/>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年本单位国内公务接待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人次；其中，外事接待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14:paraId="721A785B">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十、机关运行经费支出情况说明</w:t>
      </w:r>
    </w:p>
    <w:p w14:paraId="0BE2CAEB">
      <w:pPr>
        <w:autoSpaceDE w:val="0"/>
        <w:autoSpaceDN w:val="0"/>
        <w:adjustRightInd w:val="0"/>
        <w:spacing w:line="58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highlight w:val="none"/>
          <w:lang w:eastAsia="zh-CN"/>
        </w:rPr>
        <w:t>天津市河西区消费者协会</w:t>
      </w:r>
      <w:r>
        <w:rPr>
          <w:rFonts w:hint="eastAsia" w:ascii="Times New Roman" w:hAnsi="Times New Roman" w:eastAsia="宋体" w:cs="宋体"/>
          <w:kern w:val="0"/>
          <w:sz w:val="30"/>
          <w:szCs w:val="30"/>
          <w:highlight w:val="none"/>
          <w:lang w:eastAsia="zh-CN"/>
        </w:rPr>
        <w:t>2023</w:t>
      </w:r>
      <w:r>
        <w:rPr>
          <w:rFonts w:hint="eastAsia" w:ascii="Times New Roman" w:hAnsi="Times New Roman" w:eastAsia="仿宋_GB2312" w:cs="仿宋_GB2312"/>
          <w:kern w:val="0"/>
          <w:sz w:val="30"/>
          <w:szCs w:val="30"/>
          <w:highlight w:val="none"/>
        </w:rPr>
        <w:t>年度机关运行经费决算数</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元，比</w:t>
      </w:r>
      <w:r>
        <w:rPr>
          <w:rFonts w:hint="eastAsia" w:ascii="Times New Roman" w:hAnsi="Times New Roman" w:eastAsia="仿宋_GB2312" w:cs="Times New Roman"/>
          <w:kern w:val="0"/>
          <w:sz w:val="30"/>
          <w:szCs w:val="30"/>
          <w:highlight w:val="none"/>
          <w:lang w:eastAsia="zh-CN"/>
        </w:rPr>
        <w:t>2022</w:t>
      </w:r>
      <w:r>
        <w:rPr>
          <w:rFonts w:hint="eastAsia" w:ascii="Times New Roman" w:hAnsi="Times New Roman" w:eastAsia="仿宋_GB2312" w:cs="仿宋_GB2312"/>
          <w:kern w:val="0"/>
          <w:sz w:val="30"/>
          <w:szCs w:val="30"/>
          <w:highlight w:val="none"/>
        </w:rPr>
        <w:t>年</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kern w:val="0"/>
          <w:sz w:val="30"/>
          <w:szCs w:val="30"/>
          <w:highlight w:val="none"/>
          <w:lang w:eastAsia="zh-CN"/>
        </w:rPr>
        <w:t>%</w:t>
      </w:r>
      <w:r>
        <w:rPr>
          <w:rFonts w:hint="eastAsia" w:ascii="Times New Roman" w:hAnsi="Times New Roman" w:eastAsia="仿宋_GB2312" w:cs="仿宋_GB2312"/>
          <w:kern w:val="0"/>
          <w:sz w:val="30"/>
          <w:szCs w:val="30"/>
          <w:highlight w:val="none"/>
        </w:rPr>
        <w:t>。主要原因是：</w:t>
      </w:r>
    </w:p>
    <w:p w14:paraId="45994FF3">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天津市河西区消费者协会2023年度无机关运行经费。</w:t>
      </w:r>
    </w:p>
    <w:p w14:paraId="55920DC3">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十一、政府采购支出情况说明</w:t>
      </w:r>
    </w:p>
    <w:p w14:paraId="4E11CBCC">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天津市河西区消费者协会</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color w:val="000000"/>
          <w:kern w:val="0"/>
          <w:sz w:val="30"/>
          <w:szCs w:val="30"/>
          <w:highlight w:val="none"/>
        </w:rPr>
        <w:t>年</w:t>
      </w:r>
      <w:r>
        <w:rPr>
          <w:rFonts w:hint="eastAsia" w:ascii="Times New Roman" w:hAnsi="Times New Roman" w:eastAsia="仿宋_GB2312" w:cs="仿宋_GB2312"/>
          <w:sz w:val="30"/>
          <w:szCs w:val="30"/>
          <w:highlight w:val="none"/>
        </w:rPr>
        <w:t>政府</w:t>
      </w:r>
      <w:r>
        <w:rPr>
          <w:rFonts w:hint="eastAsia" w:ascii="Times New Roman" w:hAnsi="Times New Roman" w:eastAsia="仿宋_GB2312" w:cs="仿宋_GB2312"/>
          <w:color w:val="000000"/>
          <w:kern w:val="0"/>
          <w:sz w:val="30"/>
          <w:szCs w:val="30"/>
          <w:highlight w:val="none"/>
        </w:rPr>
        <w:t>采购支出总额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元，其中：政府采购货物支出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元、政府采购工程支出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元、政府采购服务支出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元。授予中小企业合同金额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0.0%</w:t>
      </w:r>
      <w:r>
        <w:rPr>
          <w:rFonts w:hint="eastAsia" w:ascii="Times New Roman" w:hAnsi="Times New Roman" w:eastAsia="仿宋_GB2312" w:cs="仿宋_GB2312"/>
          <w:color w:val="000000"/>
          <w:kern w:val="0"/>
          <w:sz w:val="30"/>
          <w:szCs w:val="30"/>
          <w:highlight w:val="none"/>
        </w:rPr>
        <w:t>，其中：授予小微企业合同金额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0.0%</w:t>
      </w:r>
      <w:r>
        <w:rPr>
          <w:rFonts w:hint="eastAsia" w:ascii="Times New Roman" w:hAnsi="Times New Roman" w:eastAsia="仿宋_GB2312" w:cs="仿宋_GB2312"/>
          <w:color w:val="000000"/>
          <w:kern w:val="0"/>
          <w:sz w:val="30"/>
          <w:szCs w:val="30"/>
          <w:highlight w:val="none"/>
        </w:rPr>
        <w:t>；</w:t>
      </w:r>
      <w:r>
        <w:rPr>
          <w:rFonts w:hint="eastAsia" w:ascii="Times New Roman" w:hAnsi="Times New Roman" w:eastAsia="仿宋_GB2312" w:cs="仿宋_GB2312"/>
          <w:kern w:val="0"/>
          <w:sz w:val="30"/>
          <w:szCs w:val="30"/>
          <w:highlight w:val="none"/>
        </w:rPr>
        <w:t>货物采购授予中小企业合同金额占货物支出金额的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，工程采购授予中小企业合同金额占工程支出金额的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，服务采购授予中小企业合同金额占服务支出金额的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w:t>
      </w:r>
    </w:p>
    <w:p w14:paraId="2C9322D6">
      <w:pPr>
        <w:autoSpaceDE w:val="0"/>
        <w:autoSpaceDN w:val="0"/>
        <w:adjustRightInd w:val="0"/>
        <w:spacing w:line="600" w:lineRule="exact"/>
        <w:ind w:firstLine="600"/>
        <w:jc w:val="left"/>
        <w:rPr>
          <w:rFonts w:ascii="Times New Roman" w:hAnsi="Times New Roman" w:eastAsia="楷体" w:cs="Times New Roman"/>
          <w:kern w:val="0"/>
          <w:sz w:val="30"/>
          <w:szCs w:val="30"/>
          <w:highlight w:val="none"/>
        </w:rPr>
      </w:pPr>
      <w:r>
        <w:rPr>
          <w:rFonts w:hint="eastAsia" w:ascii="Times New Roman" w:hAnsi="Times New Roman" w:eastAsia="仿宋_GB2312" w:cs="仿宋_GB2312"/>
          <w:sz w:val="30"/>
          <w:szCs w:val="30"/>
          <w:highlight w:val="none"/>
          <w:lang w:eastAsia="zh-CN"/>
        </w:rPr>
        <w:t>天津市河西区消费者协会2023年度无政府采购支出。</w:t>
      </w:r>
    </w:p>
    <w:p w14:paraId="2EE7EB87">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十二、</w:t>
      </w:r>
      <w:r>
        <w:rPr>
          <w:rFonts w:hint="eastAsia" w:ascii="Times New Roman" w:hAnsi="Times New Roman" w:eastAsia="黑体" w:cs="黑体"/>
          <w:b w:val="0"/>
          <w:bCs w:val="0"/>
          <w:kern w:val="0"/>
          <w:sz w:val="30"/>
          <w:szCs w:val="30"/>
          <w:highlight w:val="none"/>
        </w:rPr>
        <w:t>国有资产占有使用情况说明</w:t>
      </w:r>
    </w:p>
    <w:p w14:paraId="6D5500E6">
      <w:pPr>
        <w:autoSpaceDE w:val="0"/>
        <w:autoSpaceDN w:val="0"/>
        <w:adjustRightInd w:val="0"/>
        <w:spacing w:line="600" w:lineRule="exact"/>
        <w:ind w:firstLine="720"/>
        <w:jc w:val="left"/>
        <w:rPr>
          <w:rFonts w:ascii="Times New Roman" w:hAnsi="Times New Roman" w:eastAsia="仿宋_GB2312" w:cs="Times New Roman"/>
          <w:color w:val="000000"/>
          <w:kern w:val="0"/>
          <w:sz w:val="30"/>
          <w:szCs w:val="30"/>
          <w:highlight w:val="none"/>
        </w:rPr>
      </w:pPr>
      <w:r>
        <w:rPr>
          <w:rFonts w:hint="eastAsia" w:ascii="Times New Roman" w:hAnsi="Times New Roman" w:eastAsia="仿宋_GB2312" w:cs="仿宋_GB2312"/>
          <w:color w:val="000000"/>
          <w:kern w:val="0"/>
          <w:sz w:val="30"/>
          <w:szCs w:val="30"/>
          <w:highlight w:val="none"/>
        </w:rPr>
        <w:t>截至</w:t>
      </w:r>
      <w:r>
        <w:rPr>
          <w:rFonts w:ascii="Times New Roman" w:hAnsi="Times New Roman" w:eastAsia="宋体" w:cs="宋体"/>
          <w:color w:val="000000"/>
          <w:kern w:val="0"/>
          <w:sz w:val="30"/>
          <w:szCs w:val="30"/>
          <w:highlight w:val="none"/>
        </w:rPr>
        <w:t>202</w:t>
      </w:r>
      <w:r>
        <w:rPr>
          <w:rFonts w:hint="eastAsia" w:ascii="Times New Roman" w:hAnsi="Times New Roman" w:eastAsia="宋体" w:cs="宋体"/>
          <w:color w:val="000000"/>
          <w:kern w:val="0"/>
          <w:sz w:val="30"/>
          <w:szCs w:val="30"/>
          <w:highlight w:val="none"/>
          <w:lang w:val="en-US" w:eastAsia="zh-CN"/>
        </w:rPr>
        <w:t>3</w:t>
      </w:r>
      <w:r>
        <w:rPr>
          <w:rFonts w:hint="eastAsia" w:ascii="Times New Roman" w:hAnsi="Times New Roman" w:eastAsia="仿宋_GB2312" w:cs="仿宋_GB2312"/>
          <w:color w:val="000000"/>
          <w:kern w:val="0"/>
          <w:sz w:val="30"/>
          <w:szCs w:val="30"/>
          <w:highlight w:val="none"/>
        </w:rPr>
        <w:t>年</w:t>
      </w:r>
      <w:r>
        <w:rPr>
          <w:rFonts w:ascii="Times New Roman" w:hAnsi="Times New Roman" w:eastAsia="仿宋_GB2312" w:cs="Times New Roman"/>
          <w:color w:val="000000"/>
          <w:kern w:val="0"/>
          <w:sz w:val="30"/>
          <w:szCs w:val="30"/>
          <w:highlight w:val="none"/>
        </w:rPr>
        <w:t>12</w:t>
      </w:r>
      <w:r>
        <w:rPr>
          <w:rFonts w:hint="eastAsia" w:ascii="Times New Roman" w:hAnsi="Times New Roman" w:eastAsia="仿宋_GB2312" w:cs="仿宋_GB2312"/>
          <w:color w:val="000000"/>
          <w:kern w:val="0"/>
          <w:sz w:val="30"/>
          <w:szCs w:val="30"/>
          <w:highlight w:val="none"/>
        </w:rPr>
        <w:t>月</w:t>
      </w:r>
      <w:r>
        <w:rPr>
          <w:rFonts w:ascii="Times New Roman" w:hAnsi="Times New Roman" w:eastAsia="仿宋_GB2312" w:cs="Times New Roman"/>
          <w:color w:val="000000"/>
          <w:kern w:val="0"/>
          <w:sz w:val="30"/>
          <w:szCs w:val="30"/>
          <w:highlight w:val="none"/>
        </w:rPr>
        <w:t>31</w:t>
      </w:r>
      <w:r>
        <w:rPr>
          <w:rFonts w:hint="eastAsia" w:ascii="Times New Roman" w:hAnsi="Times New Roman" w:eastAsia="仿宋_GB2312" w:cs="仿宋_GB2312"/>
          <w:color w:val="000000"/>
          <w:kern w:val="0"/>
          <w:sz w:val="30"/>
          <w:szCs w:val="30"/>
          <w:highlight w:val="none"/>
        </w:rPr>
        <w:t>日，</w:t>
      </w:r>
      <w:r>
        <w:rPr>
          <w:rFonts w:hint="eastAsia" w:ascii="Times New Roman" w:hAnsi="Times New Roman" w:eastAsia="仿宋_GB2312" w:cs="仿宋_GB2312"/>
          <w:color w:val="000000"/>
          <w:kern w:val="0"/>
          <w:sz w:val="30"/>
          <w:szCs w:val="30"/>
          <w:highlight w:val="none"/>
          <w:lang w:eastAsia="zh-CN"/>
        </w:rPr>
        <w:t>天津市河西区消费者协会</w:t>
      </w:r>
      <w:r>
        <w:rPr>
          <w:rFonts w:hint="eastAsia" w:ascii="Times New Roman" w:hAnsi="Times New Roman" w:eastAsia="仿宋_GB2312" w:cs="仿宋_GB2312"/>
          <w:color w:val="000000"/>
          <w:kern w:val="0"/>
          <w:sz w:val="30"/>
          <w:szCs w:val="30"/>
          <w:highlight w:val="none"/>
        </w:rPr>
        <w:t>共有车辆</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color w:val="000000"/>
          <w:kern w:val="0"/>
          <w:sz w:val="30"/>
          <w:szCs w:val="30"/>
          <w:highlight w:val="none"/>
        </w:rPr>
        <w:t>辆，其中：</w:t>
      </w:r>
      <w:r>
        <w:rPr>
          <w:rFonts w:ascii="Times New Roman" w:hAnsi="Times New Roman" w:eastAsia="仿宋_GB2312" w:cs="Times New Roman"/>
          <w:kern w:val="0"/>
          <w:sz w:val="30"/>
          <w:szCs w:val="30"/>
          <w:highlight w:val="none"/>
        </w:rPr>
        <w:t>副部（省）级及以上领导用车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主要</w:t>
      </w:r>
      <w:r>
        <w:rPr>
          <w:rFonts w:hint="eastAsia" w:ascii="Times New Roman" w:hAnsi="Times New Roman" w:eastAsia="仿宋_GB2312" w:cs="Times New Roman"/>
          <w:kern w:val="0"/>
          <w:sz w:val="30"/>
          <w:szCs w:val="30"/>
          <w:highlight w:val="none"/>
          <w:lang w:val="en-US" w:eastAsia="zh-CN"/>
        </w:rPr>
        <w:t>负责人</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机要通信用车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应急保障用车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执法执勤用车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特种专业技术用车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离退休干部</w:t>
      </w:r>
      <w:r>
        <w:rPr>
          <w:rFonts w:hint="eastAsia" w:ascii="Times New Roman" w:hAnsi="Times New Roman" w:eastAsia="仿宋_GB2312" w:cs="Times New Roman"/>
          <w:kern w:val="0"/>
          <w:sz w:val="30"/>
          <w:szCs w:val="30"/>
          <w:highlight w:val="none"/>
          <w:lang w:val="en-US" w:eastAsia="zh-CN"/>
        </w:rPr>
        <w:t>服务</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其他用车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hint="eastAsia" w:ascii="Times New Roman" w:hAnsi="Times New Roman" w:eastAsia="仿宋_GB2312" w:cs="Times New Roman"/>
          <w:kern w:val="0"/>
          <w:sz w:val="30"/>
          <w:szCs w:val="30"/>
          <w:highlight w:val="none"/>
        </w:rPr>
        <w:t>，其他用车主要包括</w:t>
      </w:r>
      <w:r>
        <w:rPr>
          <w:rFonts w:hint="eastAsia" w:ascii="Times New Roman" w:hAnsi="Times New Roman" w:eastAsia="仿宋_GB2312" w:cs="仿宋_GB2312"/>
          <w:kern w:val="0"/>
          <w:sz w:val="30"/>
          <w:szCs w:val="30"/>
          <w:highlight w:val="none"/>
          <w:lang w:val="zh-CN"/>
        </w:rPr>
        <w:t>。</w:t>
      </w:r>
      <w:r>
        <w:rPr>
          <w:rFonts w:hint="eastAsia" w:ascii="Times New Roman" w:hAnsi="Times New Roman" w:eastAsia="仿宋_GB2312" w:cs="仿宋_GB2312"/>
          <w:kern w:val="0"/>
          <w:sz w:val="30"/>
          <w:szCs w:val="30"/>
          <w:highlight w:val="none"/>
        </w:rPr>
        <w:t>单价</w:t>
      </w:r>
      <w:r>
        <w:rPr>
          <w:rFonts w:ascii="Times New Roman" w:hAnsi="Times New Roman" w:eastAsia="仿宋_GB2312" w:cs="仿宋_GB2312"/>
          <w:kern w:val="0"/>
          <w:sz w:val="30"/>
          <w:szCs w:val="30"/>
          <w:highlight w:val="none"/>
        </w:rPr>
        <w:t>100</w:t>
      </w:r>
      <w:r>
        <w:rPr>
          <w:rFonts w:hint="eastAsia" w:ascii="Times New Roman" w:hAnsi="Times New Roman" w:eastAsia="仿宋_GB2312" w:cs="仿宋_GB2312"/>
          <w:kern w:val="0"/>
          <w:sz w:val="30"/>
          <w:szCs w:val="30"/>
          <w:highlight w:val="none"/>
        </w:rPr>
        <w:t>万元以上的设备</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台（套）。</w:t>
      </w:r>
    </w:p>
    <w:p w14:paraId="0183C9A2">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天津市河西区消费者协会2023年度无国有资产占有使用情况。</w:t>
      </w:r>
    </w:p>
    <w:p w14:paraId="3402B7BE">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十三、</w:t>
      </w:r>
      <w:r>
        <w:rPr>
          <w:rFonts w:hint="eastAsia" w:ascii="Times New Roman" w:hAnsi="Times New Roman" w:eastAsia="黑体" w:cs="黑体"/>
          <w:b w:val="0"/>
          <w:bCs w:val="0"/>
          <w:kern w:val="0"/>
          <w:sz w:val="30"/>
          <w:szCs w:val="30"/>
          <w:highlight w:val="none"/>
        </w:rPr>
        <w:t>预算绩效情况说明</w:t>
      </w:r>
    </w:p>
    <w:p w14:paraId="2F8EA46A">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本部门2023年度没有项目支出，无需开展绩效自评。</w:t>
      </w:r>
    </w:p>
    <w:p w14:paraId="1B2A83F7">
      <w:pPr>
        <w:keepNext/>
        <w:keepLines/>
        <w:autoSpaceDE w:val="0"/>
        <w:autoSpaceDN w:val="0"/>
        <w:adjustRightInd w:val="0"/>
        <w:spacing w:line="600" w:lineRule="exact"/>
        <w:ind w:firstLine="602"/>
        <w:jc w:val="left"/>
        <w:outlineLvl w:val="1"/>
        <w:rPr>
          <w:rFonts w:hint="eastAsia" w:ascii="Times New Roman" w:hAnsi="Times New Roman" w:eastAsia="仿宋_GB2312" w:cs="仿宋_GB2312"/>
          <w:kern w:val="0"/>
          <w:sz w:val="30"/>
          <w:szCs w:val="30"/>
          <w:highlight w:val="none"/>
        </w:rPr>
      </w:pPr>
      <w:r>
        <w:rPr>
          <w:rFonts w:hint="eastAsia" w:ascii="Times New Roman" w:hAnsi="Times New Roman" w:eastAsia="黑体" w:cs="黑体"/>
          <w:b w:val="0"/>
          <w:bCs w:val="0"/>
          <w:kern w:val="0"/>
          <w:sz w:val="30"/>
          <w:szCs w:val="30"/>
          <w:highlight w:val="none"/>
          <w:lang w:val="zh-CN"/>
        </w:rPr>
        <w:t>十四、</w:t>
      </w:r>
      <w:r>
        <w:rPr>
          <w:rFonts w:hint="eastAsia" w:ascii="Times New Roman" w:hAnsi="Times New Roman" w:eastAsia="黑体" w:cs="黑体"/>
          <w:b w:val="0"/>
          <w:bCs w:val="0"/>
          <w:kern w:val="0"/>
          <w:sz w:val="30"/>
          <w:szCs w:val="30"/>
          <w:highlight w:val="none"/>
        </w:rPr>
        <w:t>教育、医疗卫生、社会保障和就业、住房保障、涉农补贴等民生支出情况说明</w:t>
      </w:r>
    </w:p>
    <w:p w14:paraId="6948BFB4">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天津市河西区消费者协会不属于乡、镇、街级单位，不涉及公开2023年度教育、医疗卫生、社会保障和就业、住房保障、涉农补贴等民生支出情况。</w:t>
      </w:r>
    </w:p>
    <w:p w14:paraId="7865A15E">
      <w:pPr>
        <w:autoSpaceDE w:val="0"/>
        <w:autoSpaceDN w:val="0"/>
        <w:adjustRightInd w:val="0"/>
        <w:jc w:val="left"/>
        <w:rPr>
          <w:rFonts w:ascii="Times New Roman" w:hAnsi="Times New Roman" w:eastAsia="仿宋_GB2312" w:cs="仿宋_GB2312"/>
          <w:b/>
          <w:bCs/>
          <w:color w:val="000000"/>
          <w:kern w:val="0"/>
          <w:sz w:val="30"/>
          <w:szCs w:val="30"/>
          <w:highlight w:val="none"/>
        </w:rPr>
      </w:pPr>
      <w:r>
        <w:rPr>
          <w:rFonts w:ascii="Times New Roman" w:hAnsi="Times New Roman" w:eastAsia="仿宋_GB2312" w:cs="仿宋_GB2312"/>
          <w:b/>
          <w:bCs/>
          <w:color w:val="000000"/>
          <w:kern w:val="0"/>
          <w:sz w:val="30"/>
          <w:szCs w:val="30"/>
          <w:highlight w:val="none"/>
        </w:rPr>
        <w:br w:type="page"/>
      </w:r>
    </w:p>
    <w:p w14:paraId="6C58E443">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第四部分名词解释</w:t>
      </w:r>
    </w:p>
    <w:p w14:paraId="1B22A3DB">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p>
    <w:p w14:paraId="07EF072D">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val="en-US" w:eastAsia="zh-CN"/>
        </w:rPr>
        <w:t>1</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34671C0A">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3053678E">
      <w:pPr>
        <w:autoSpaceDE w:val="0"/>
        <w:autoSpaceDN w:val="0"/>
        <w:adjustRightInd w:val="0"/>
        <w:spacing w:line="600" w:lineRule="exact"/>
        <w:ind w:firstLine="600"/>
        <w:jc w:val="left"/>
        <w:rPr>
          <w:rFonts w:ascii="Times New Roman" w:hAnsi="Times New Roman"/>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FFF1EF"/>
    <w:multiLevelType w:val="singleLevel"/>
    <w:tmpl w:val="B7FFF1EF"/>
    <w:lvl w:ilvl="0" w:tentative="0">
      <w:start w:val="1"/>
      <w:numFmt w:val="chineseCounting"/>
      <w:suff w:val="space"/>
      <w:lvlText w:val="第%1部分"/>
      <w:lvlJc w:val="left"/>
      <w:rPr>
        <w:rFonts w:hint="eastAsia"/>
      </w:rPr>
    </w:lvl>
  </w:abstractNum>
  <w:abstractNum w:abstractNumId="1">
    <w:nsid w:val="DFB22B06"/>
    <w:multiLevelType w:val="singleLevel"/>
    <w:tmpl w:val="DFB22B0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0ZmFhYmVhYjk1ODI3MDNhN2JlMTA5NDVkYzIzMGI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A8051F"/>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 w:val="BFDFC788"/>
    <w:rsid w:val="FF9D1CDB"/>
    <w:rsid w:val="FFB86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qFormat/>
    <w:uiPriority w:val="99"/>
    <w:rPr>
      <w:rFonts w:ascii="方正小标宋简体" w:eastAsia="方正小标宋简体"/>
      <w:kern w:val="0"/>
      <w:sz w:val="24"/>
      <w:szCs w:val="24"/>
    </w:rPr>
  </w:style>
  <w:style w:type="character" w:customStyle="1" w:styleId="10">
    <w:name w:val="标题 2 字符"/>
    <w:basedOn w:val="8"/>
    <w:link w:val="3"/>
    <w:qFormat/>
    <w:uiPriority w:val="99"/>
    <w:rPr>
      <w:rFonts w:ascii="方正小标宋简体" w:eastAsia="方正小标宋简体"/>
      <w:kern w:val="0"/>
      <w:sz w:val="24"/>
      <w:szCs w:val="24"/>
    </w:r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4832</Words>
  <Characters>5573</Characters>
  <Lines>82</Lines>
  <Paragraphs>23</Paragraphs>
  <TotalTime>24</TotalTime>
  <ScaleCrop>false</ScaleCrop>
  <LinksUpToDate>false</LinksUpToDate>
  <CharactersWithSpaces>5656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2023-08-12T08:11:00Z</dcterms:created>
  <dc:creator>office</dc:creator>
  <cp:lastModifiedBy>小李</cp:lastModifiedBy>
  <dcterms:modified xsi:type="dcterms:W3CDTF">2024-08-28T02:34:36Z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A44E0A178634409BBBA50D5636087390_13</vt:lpwstr>
  </property>
</Properties>
</file>