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p>
    <w:p>
      <w:pPr>
        <w:autoSpaceDE w:val="0"/>
        <w:autoSpaceDN w:val="0"/>
        <w:adjustRightInd w:val="0"/>
        <w:jc w:val="center"/>
        <w:rPr>
          <w:rFonts w:ascii="Times New Roman" w:hAnsi="Times New Roman" w:eastAsia="方正小标宋简体" w:cs="方正小标宋简体"/>
          <w:kern w:val="0"/>
          <w:sz w:val="48"/>
          <w:szCs w:val="48"/>
          <w:lang w:val="zh-CN"/>
        </w:rPr>
      </w:pPr>
      <w:r>
        <w:rPr>
          <w:rFonts w:hint="eastAsia" w:ascii="Times New Roman" w:hAnsi="Times New Roman" w:eastAsia="方正小标宋简体" w:cs="方正小标宋简体"/>
          <w:kern w:val="0"/>
          <w:sz w:val="48"/>
          <w:szCs w:val="48"/>
          <w:lang w:val="zh-CN"/>
        </w:rPr>
        <w:t>天津市北辰区市场监督管理局(本级)2023年度部门决算</w:t>
      </w: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580" w:lineRule="exact"/>
        <w:jc w:val="center"/>
        <w:rPr>
          <w:rFonts w:ascii="Times New Roman" w:hAnsi="Times New Roman" w:eastAsia="黑体" w:cs="黑体"/>
          <w:sz w:val="30"/>
          <w:szCs w:val="30"/>
        </w:rPr>
      </w:pPr>
    </w:p>
    <w:p>
      <w:pPr>
        <w:autoSpaceDE w:val="0"/>
        <w:autoSpaceDN w:val="0"/>
        <w:adjustRightInd w:val="0"/>
        <w:spacing w:line="600" w:lineRule="exact"/>
        <w:jc w:val="center"/>
        <w:rPr>
          <w:rFonts w:ascii="Times New Roman" w:hAnsi="Times New Roman" w:eastAsia="黑体" w:cs="黑体"/>
          <w:kern w:val="0"/>
          <w:sz w:val="44"/>
          <w:szCs w:val="44"/>
        </w:rPr>
      </w:pPr>
      <w:r>
        <w:rPr>
          <w:rFonts w:ascii="Times New Roman" w:hAnsi="Times New Roman" w:eastAsia="黑体" w:cs="黑体"/>
          <w:sz w:val="30"/>
          <w:szCs w:val="30"/>
        </w:rPr>
        <w:br w:type="page"/>
      </w:r>
    </w:p>
    <w:p>
      <w:pPr>
        <w:autoSpaceDE w:val="0"/>
        <w:autoSpaceDN w:val="0"/>
        <w:adjustRightInd w:val="0"/>
        <w:spacing w:line="600" w:lineRule="exact"/>
        <w:jc w:val="center"/>
        <w:rPr>
          <w:rFonts w:ascii="Times New Roman" w:hAnsi="Times New Roman" w:eastAsia="黑体" w:cs="黑体"/>
          <w:kern w:val="0"/>
          <w:sz w:val="44"/>
          <w:szCs w:val="44"/>
        </w:rPr>
      </w:pPr>
      <w:r>
        <w:rPr>
          <w:rFonts w:hint="eastAsia" w:ascii="Times New Roman" w:hAnsi="Times New Roman" w:eastAsia="黑体" w:cs="黑体"/>
          <w:kern w:val="0"/>
          <w:sz w:val="44"/>
          <w:szCs w:val="44"/>
        </w:rPr>
        <w:t>目   录</w:t>
      </w:r>
    </w:p>
    <w:p>
      <w:pPr>
        <w:autoSpaceDE w:val="0"/>
        <w:autoSpaceDN w:val="0"/>
        <w:adjustRightInd w:val="0"/>
        <w:spacing w:line="600" w:lineRule="exact"/>
        <w:jc w:val="left"/>
        <w:rPr>
          <w:rFonts w:ascii="Times New Roman" w:hAnsi="Times New Roman" w:eastAsia="黑体" w:cs="黑体"/>
          <w:kern w:val="0"/>
          <w:sz w:val="30"/>
          <w:szCs w:val="30"/>
        </w:rPr>
      </w:pP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第一部分  概 况</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一、主要职责</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二、机构设置</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第二部分  2023年度部门决算表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二、收入决算表（按功能分类列示）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三、收入决算表（按单位列示）</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五、财政拨款收入支出决算总表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七、一般公共预算财政拨款基本支出决算表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八、政府性基金预算财政拨款收入支出决算表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九、国有资本经营预算财政拨款收入支出决算表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十一、项目支出决算表</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十二、关于空表的说明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rPr>
      </w:pPr>
      <w:r>
        <w:rPr>
          <w:rFonts w:hint="eastAsia" w:ascii="Times New Roman" w:hAnsi="Times New Roman" w:eastAsia="方正小标宋简体" w:cs="方正小标宋简体"/>
          <w:kern w:val="0"/>
          <w:sz w:val="30"/>
          <w:szCs w:val="30"/>
        </w:rPr>
        <w:t>第三部分  2023年度部门决算情况说明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一、收支决算总体情况说明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二、收入决算情况说明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三、支出决算情况说明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四、财政拨款收支决算总体情况说明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五、一般公共预算财政拨款支出决算情况说明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六、一般公共预算财政拨款基本支出决算情况说明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七、政府性基金预算财政拨款收支决算情况说明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八、国有资本经营预算财政拨款收支决算情况说明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九、财政拨款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经费支出决算情况说明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十、机关运行经费支出情况说明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十一、政府采购支出情况说明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十二、国有资产占有使用情况说明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十三、预算绩效情况说明</w:t>
      </w:r>
    </w:p>
    <w:p>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lang w:val="en"/>
        </w:rPr>
      </w:pPr>
      <w:r>
        <w:rPr>
          <w:rFonts w:hint="eastAsia" w:ascii="Times New Roman" w:hAnsi="Times New Roman" w:eastAsia="仿宋_GB2312" w:cs="仿宋_GB2312"/>
          <w:kern w:val="0"/>
          <w:sz w:val="30"/>
          <w:szCs w:val="30"/>
        </w:rPr>
        <w:t>十四、教育、医疗卫生、社会保障和就业、住房保障、涉农补贴等民生支出情况说明</w:t>
      </w:r>
    </w:p>
    <w:p>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lang w:val="en"/>
        </w:rPr>
      </w:pPr>
      <w:r>
        <w:rPr>
          <w:rFonts w:hint="eastAsia" w:ascii="Times New Roman" w:hAnsi="Times New Roman" w:eastAsia="方正小标宋简体" w:cs="方正小标宋简体"/>
          <w:kern w:val="0"/>
          <w:sz w:val="30"/>
          <w:szCs w:val="30"/>
          <w:lang w:val="en"/>
        </w:rPr>
        <w:t>第四部分</w:t>
      </w:r>
      <w:r>
        <w:rPr>
          <w:rFonts w:hint="eastAsia" w:ascii="Times New Roman" w:hAnsi="Times New Roman" w:eastAsia="方正小标宋简体" w:cs="方正小标宋简体"/>
          <w:kern w:val="0"/>
          <w:sz w:val="30"/>
          <w:szCs w:val="30"/>
        </w:rPr>
        <w:t xml:space="preserve">  </w:t>
      </w:r>
      <w:r>
        <w:rPr>
          <w:rFonts w:hint="eastAsia" w:ascii="Times New Roman" w:hAnsi="Times New Roman" w:eastAsia="方正小标宋简体" w:cs="方正小标宋简体"/>
          <w:kern w:val="0"/>
          <w:sz w:val="30"/>
          <w:szCs w:val="30"/>
          <w:lang w:val="en"/>
        </w:rPr>
        <w:t>名词解释</w:t>
      </w:r>
    </w:p>
    <w:p>
      <w:pPr>
        <w:autoSpaceDE w:val="0"/>
        <w:autoSpaceDN w:val="0"/>
        <w:adjustRightInd w:val="0"/>
        <w:spacing w:line="700" w:lineRule="exact"/>
        <w:jc w:val="left"/>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第一部分  概 况</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一、主要职责</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一）负责市场综合监督管理。贯彻执行市场监督管理、药品、医疗器械和化妆品监管和知识产权方面法律、法规、规章和政策、标准，组织实施质量强国战略、国家知识产权战略、质量立市战略和食品安全战略、标准化战略，拟订并组织实施有关市场监管、药品零售和使用环节、医疗器械经营和使用环节及化妆品经营环节监管和知识产权规划、计划，规范和维护市场秩序，营造诚实守信、公平竞争的市场环境。</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负责本区各类企业、农民专业合作社和从事经营活动的单位、个体工商户，以及外国（地区）企业常驻代表机构等市场主体的登记注册和监督管理工作。负责核发加载法人和其他组织统一社会信用代码的营业执照。指导本区内企业、个体工商户、商品交易市场的信用分类管理，收集、整理和报送监管职责范围内的市场主体登记注册基础信息等，落实企业信用信息公示制度。</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（三）负责组织实施本区市场监管综合执法工作。规范市场监管行政执法行为。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四）依法规范和维护本区各类市场的经营秩序，监督管理市场交易、网络商品交易及有关服务的行为。依法查处价格收费违法违规、不正当竞争、违法直销、传销、侵犯商标专利知识产权和商业贿赂等经济违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五）组织开展本区内商品和相关服务领域消费维权工作，负责查处侵害消费者权益、制售假冒伪劣产品等违法行为，依法处置产品质量投诉举报，承担消费者咨询、投诉、举报的受理处理和网络体系建设等工作。承担消费教育引导，推动经营者自律。</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（六）依法实施本区内合同的行政监督管理，负责管理动产抵押物登记，监督管理拍卖行为，依法查处合同欺诈、不公平格式条款等违法行为。指导广告业发展，负责广告活动的监督管理工作。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（七）负责依法对价格活动进行监督检查，规范市场价格秩序。对违反价格管理的违法违规行为进行处罚。处理价格举报、投诉。贯彻落实公平竞争审查制度。</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八）负责本区质量管理工作。负责组织实施质量发展政策规定和质量考核奖励工作。负责编制宏观质量状况分析报告。会同有关部门组织实施重大工程设备质量监理工作，组织重大质量事故调查，组织实施缺陷产品召回工作，监督管理产品防伪工作。承担产品质量诚信制度建设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九）负责本区产品质量安全监督工作。负责产品、商品质量监督抽查和产品、商品风险排查、监控及警示工作，依法查处产品、商品质量违法行为。负责工业产品生产许可监督管理工作。负责产品质量事故的调查，监督缺陷和问题产品的召回。</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负责管理本区特种设备的安全监督工作。组织实施对特种设备生产、经营、使用、检验、检测和特种设备安全的监督管理。督促特种设备使用单位健全和完善安全和节能责任制度，依法查处违法违规行为。参与对特种设备一般安全事故的调查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一）负责本区食品监督管理工作。贯彻执行本市食品安全重大政策。负责食品安全应急体系建设，组织实施重大食品安全事件应急处置和调查处理工作。推动落实食品安全重要信息直报制度。组织实施本区食品生产、流通、消费全过程的监督检查和隐患排查治理，防范区域性、系统性食品安全风险。推动食品生产经营者落实主体责任，健全食品安全追溯体系。组织开展食品安全监督抽检、风险监测、检查处置和风险预警、风险交流工作，定期公布相关信息。组织实施不合格食品核查、处置、召回。负责特殊食品的监督管理。组织开展食品专项整治，依法查处相关违法违规行为。承担区食品安全委员会具体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二）负责药品零售、医疗器械经营环节的许可和监督管理，以及化妆品经营和药品、医疗器械使用环节质量的监督管理。依法查处相关违法违规行为。依职责组织实施本区药品、医疗器械、化妆品评价性和监督性抽样检验。组织开展本区药品、化妆品不良反应和医疗器械不良事件的监测和处置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（十三）负责本区计量监督管理工作。推行法定计量单位和国家计量制度。建立和管理社会公用计量标准, 监督管理法定计量检定机构和社会公正计量机构，组织量值传递和溯源。依法负责计量器具和商品量的监督管理，组织计量仲裁检定、调解计量纠纷。依法负责查处计量违法行为。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（十四）负责本区标准化管理工作。组织国家标准、行业标准和地方标准的贯彻实施。组织开展标准示范试点工作。负责商品条码管理工作。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五）负责本区认证认可监督管理工作。依法对各类认证活动进行监督管理，查处违法行为。负责组织实施认证认可风险分析与预警工作。负责本区检验检测机构监督管理工作，规范本区检验检测市场，完善检验检测体系。</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（十六）负责本区食用农产品、粮食（含食用油）进入批发、零售市场或生产加工企业后的质量安全监督管理工作。负责食盐生产及经营的质量安全监督管理工作。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七）组织协调保护知识产权工作，推动知识产权保护体系建设。负责本区知识产权争议处理、维权援助和纠纷调处工作。组织落实知识产权运用和规范交易政策，促进知识产权转移转化。负责知识产权统计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（十八）负责专利管理工作。推动专利创造、运用、管理和保护工作。负责专利行政执法，依法处理、调解侵犯专利的纠纷案件以及查处假冒他人专利行为和冒充专利行为。</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（十九）组织推动商标工作。负责商标行政执法工作，依法保护商标专用权和查处商标侵权行为，监督管理商标的印制和使用。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（二十）负责本领域安全生产监督管理工作。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（二十一）配合有关部门推动招商引资工作。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（二十二）负责本区市场监管人才队伍建设工作。</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（二十三）承办区委、区政府交办的其他事项。</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（二十四）职能转变。</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1.大力推进质量提升。加强全面质量管理和本市质量基础设施体系建设，完善质量激励制度，推进品牌建设。加快建立企业产品质量安全事故强制报告制度及经营者首问和赔偿先付制度，创新第三方质量评价，强化生产经营者主体责任，推广先进的质量管理方法。全面实施企业产品与服务标准自我声明公开和监督制度，培育发展技术先进的团体标准，对标国际提高本市标准整体水平，以标准化促进质量强市建设。</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深入推进简政放权。深化商事制度改革，推进企业名称核准、市场主体退出等改革，推进“证照分离”改革，压缩企业开办时间。加快检验监测机构市场化社会化改革。进一步减少评比达标、认定奖励、示范创建等活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严守安全底线。遵循“最严谨的标准、最严格的监管、最严厉的处罚、最严肃的问责”要求，依法加强食品药品安全、工业产品质量安全、特种设备安全监管，强化现场检查，严惩违法违规行为，有效防范系统性风险，让人民群众买得放心、用得放心、吃得放心。</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加强事中事后监管。加快清理废除妨碍统一市场和公平竞争的各种规定和做法，加强反垄断、反不正当竞争统一执法。强化依据标准监管，强化风险管理，全面推行“双随机、一公开”和“互联网+监管”，加快推进监管信息共享，构建以信息公示为手段、以信用监管为核心的新型市场监管体系。</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5.提高服务水平。推进市场主体准入到退出全过程便利化，主动服务新技术新产业新业态新模式发展，运用大数据加强对市场主体服务，积极服务个体工商户、私营企业和办事群众，促进大众创业、万众创新。</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（二十五）有关职责分工。</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1.与公安北辰分局的有关职责分工。区市场监督管理局与公安北辰分局建立行政执法和刑事司法工作衔接机制。区市场监督管理局发现违法行为涉嫌犯罪的，应当按照有关规定及时移送公安机关，公安机关应当迅速进行审查，并依法作出立案或者不予立案的决定。公安机关依法提请市场监督管理局作出检验、鉴定、认定等协助的，区市场监督管理局应当予以协助。</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与区农业农村委员会的有关职责分工。（1）区农业农村委员会负责食用农产品从种植养殖环节到进入批发、零售市场或者生产加工企业前的质量安全监督管理。食用农产品进入批发、零售市场或者生产加工企业后，由区市场监督管理局监督管理。（2）区农业农村委员会负责动植物疫病防控、畜禽屠宰环节、生鲜乳收购环节质量安全的监督管理。（3）两部门要建立食品安全产地准出、市场准入和追溯机制，加强协调配合和工作衔接，形成监管合力。</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3.与区卫生健康委员会的有关职责分工。（1）区卫生健康委员会负责食品安全风险监测工作，会同区市场监督管理局等部门制定、实施本区食品安全风险监测方案。区卫生健康委员会对通过食品安全风险监测发现可能存在食品安全隐患的，应当及时将相关信息通报区市场监督管理局，并报告区政府和市卫生健康委员会，区市场监督管理局应当组织开展进一步调查。（2）区卫生健康委员会会同区市场监督管理局等部门对食品安全国家标准和地方标准的执行情况进行跟踪评价。（3）区市场监督管理局会同区卫生健康委员会建立重大药品不良反应、医疗器械不良事件相互通报机制和联合处置机制。</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4.与区农业农村委员会、区发展和改革委员会的有关职责分工。区农业农村委员会负责粮食生产环节的质量安全监管。区发展和改革委员会负责粮食（含食用油）收购、储存、运输环节和政策性用粮购销活动中的粮食质量安全和原粮卫生的监督管理。区市场监督管理局负责粮食（含食用油）进入批发、零售市场或生产加工企业后的质量安全监督管理。</w:t>
      </w:r>
    </w:p>
    <w:p>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pPr>
        <w:autoSpaceDE w:val="0"/>
        <w:autoSpaceDN w:val="0"/>
        <w:adjustRightInd w:val="0"/>
        <w:spacing w:line="60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rPr>
        <w:t>天津市北辰区市场监督管理局（本级）内设20个职能科室；下辖0个预算单位。纳入天津市北辰区市场监督管理局(本级)2023年度部门决算编制范围的单位包括：</w:t>
      </w:r>
    </w:p>
    <w:p>
      <w:pPr>
        <w:autoSpaceDE w:val="0"/>
        <w:autoSpaceDN w:val="0"/>
        <w:adjustRightInd w:val="0"/>
        <w:spacing w:line="600" w:lineRule="exact"/>
        <w:ind w:firstLine="600"/>
        <w:jc w:val="left"/>
        <w:rPr>
          <w:rFonts w:ascii="Times New Roman" w:hAnsi="Times New Roman" w:eastAsia="仿宋_GB2312" w:cs="仿宋_GB2312"/>
          <w:sz w:val="30"/>
          <w:szCs w:val="30"/>
          <w:highlight w:val="none"/>
        </w:rPr>
      </w:pPr>
      <w:r>
        <w:rPr>
          <w:rFonts w:hint="eastAsia" w:ascii="Times New Roman" w:hAnsi="Times New Roman" w:eastAsia="仿宋_GB2312" w:cs="仿宋_GB2312"/>
          <w:sz w:val="30"/>
          <w:szCs w:val="30"/>
          <w:highlight w:val="none"/>
        </w:rPr>
        <w:t>1.天津市北辰区市场监督管理局（本级）</w:t>
      </w:r>
    </w:p>
    <w:p>
      <w:pPr>
        <w:rPr>
          <w:rFonts w:ascii="Times New Roman" w:hAnsi="Times New Roman" w:eastAsia="黑体" w:cs="黑体"/>
          <w:sz w:val="30"/>
          <w:szCs w:val="30"/>
          <w:lang w:val="zh-CN"/>
        </w:rPr>
      </w:pPr>
      <w:r>
        <w:rPr>
          <w:rFonts w:ascii="Times New Roman" w:hAnsi="Times New Roman" w:eastAsia="黑体" w:cs="黑体"/>
          <w:sz w:val="30"/>
          <w:szCs w:val="30"/>
          <w:lang w:val="zh-CN"/>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第二部分  2023年度部门决算表</w:t>
      </w:r>
    </w:p>
    <w:p>
      <w:pPr>
        <w:autoSpaceDE w:val="0"/>
        <w:autoSpaceDN w:val="0"/>
        <w:adjustRightInd w:val="0"/>
        <w:spacing w:line="600" w:lineRule="exact"/>
        <w:jc w:val="left"/>
        <w:rPr>
          <w:rFonts w:ascii="Times New Roman" w:hAnsi="Times New Roman" w:eastAsia="方正小标宋简体" w:cs="Times New Roman"/>
          <w:kern w:val="0"/>
          <w:sz w:val="24"/>
          <w:szCs w:val="24"/>
        </w:rPr>
      </w:pP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一、《收入支出决算总表》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二、《收入决算表（按功能分类列示）》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三、《收入决算表（按单位列示）》</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四、《支出决算表》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五、《财政拨款收入支出决算总表》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六、《一般公共预算财政拨款支出决算表》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七、《一般公共预算财政拨款基本支出决算表》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八、《政府性基金预算财政拨款收入支出决算表》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九、《国有资本经营预算财政拨款收入支出决算表》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十、《财政拨款</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三公</w:t>
      </w:r>
      <w:r>
        <w:rPr>
          <w:rFonts w:ascii="Times New Roman" w:hAnsi="Times New Roman" w:eastAsia="黑体" w:cs="黑体"/>
          <w:kern w:val="0"/>
          <w:sz w:val="30"/>
          <w:szCs w:val="30"/>
        </w:rPr>
        <w:t>”</w:t>
      </w:r>
      <w:r>
        <w:rPr>
          <w:rFonts w:hint="eastAsia" w:ascii="Times New Roman" w:hAnsi="Times New Roman" w:eastAsia="黑体" w:cs="黑体"/>
          <w:kern w:val="0"/>
          <w:sz w:val="30"/>
          <w:szCs w:val="30"/>
        </w:rPr>
        <w:t>经费支出决算表》</w:t>
      </w:r>
    </w:p>
    <w:p>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rPr>
      </w:pPr>
      <w:r>
        <w:rPr>
          <w:rFonts w:hint="eastAsia" w:ascii="Times New Roman" w:hAnsi="Times New Roman" w:eastAsia="黑体" w:cs="黑体"/>
          <w:kern w:val="0"/>
          <w:sz w:val="30"/>
          <w:szCs w:val="30"/>
        </w:rPr>
        <w:t>十一、《项目支出决算表》</w:t>
      </w:r>
    </w:p>
    <w:p>
      <w:pPr>
        <w:autoSpaceDE w:val="0"/>
        <w:autoSpaceDN w:val="0"/>
        <w:adjustRightInd w:val="0"/>
        <w:spacing w:line="800" w:lineRule="exact"/>
        <w:jc w:val="left"/>
        <w:rPr>
          <w:rFonts w:ascii="Times New Roman" w:hAnsi="Times New Roman" w:eastAsia="楷体" w:cs="楷体"/>
          <w:kern w:val="0"/>
          <w:sz w:val="30"/>
          <w:szCs w:val="30"/>
        </w:rPr>
      </w:pPr>
      <w:r>
        <w:rPr>
          <w:rFonts w:hint="eastAsia" w:ascii="Times New Roman" w:hAnsi="Times New Roman" w:eastAsia="楷体" w:cs="楷体"/>
          <w:kern w:val="0"/>
          <w:sz w:val="30"/>
          <w:szCs w:val="30"/>
        </w:rPr>
        <w:t>注：以上决算公开表均作为附表，附于决算公开说明文档后。</w:t>
      </w:r>
    </w:p>
    <w:p>
      <w:pPr>
        <w:autoSpaceDE w:val="0"/>
        <w:autoSpaceDN w:val="0"/>
        <w:adjustRightInd w:val="0"/>
        <w:spacing w:line="600" w:lineRule="exact"/>
        <w:jc w:val="left"/>
        <w:rPr>
          <w:rFonts w:ascii="Times New Roman" w:hAnsi="Times New Roman" w:eastAsia="黑体" w:cs="黑体"/>
          <w:b/>
          <w:bCs/>
          <w:kern w:val="0"/>
          <w:sz w:val="30"/>
          <w:szCs w:val="30"/>
        </w:rPr>
      </w:pPr>
      <w:r>
        <w:rPr>
          <w:rFonts w:ascii="Times New Roman" w:hAnsi="Times New Roman" w:eastAsia="楷体" w:cs="Times New Roman"/>
          <w:kern w:val="0"/>
          <w:sz w:val="24"/>
          <w:szCs w:val="24"/>
        </w:rPr>
        <w:br w:type="page"/>
      </w:r>
      <w:r>
        <w:rPr>
          <w:rFonts w:hint="default" w:ascii="Times New Roman" w:hAnsi="Times New Roman" w:eastAsia="楷体" w:cs="Times New Roman"/>
          <w:kern w:val="0"/>
          <w:sz w:val="24"/>
          <w:szCs w:val="24"/>
          <w:lang w:val="en"/>
        </w:rPr>
        <w:t xml:space="preserve">    </w:t>
      </w:r>
      <w:r>
        <w:rPr>
          <w:rFonts w:hint="eastAsia" w:ascii="Times New Roman" w:hAnsi="Times New Roman" w:eastAsia="黑体" w:cs="黑体"/>
          <w:b w:val="0"/>
          <w:bCs w:val="0"/>
          <w:kern w:val="0"/>
          <w:sz w:val="30"/>
          <w:szCs w:val="30"/>
        </w:rPr>
        <w:t>十二、关于空表的说明</w:t>
      </w:r>
    </w:p>
    <w:p>
      <w:pPr>
        <w:autoSpaceDE w:val="0"/>
        <w:autoSpaceDN w:val="0"/>
        <w:adjustRightInd w:val="0"/>
        <w:spacing w:line="600" w:lineRule="exact"/>
        <w:ind w:firstLine="601"/>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1.天津市北辰区市场监督管理局（本级）2023年度政府性基金预算财政拨款收入支出决算表为空表。</w:t>
      </w:r>
      <w:r>
        <w:rPr>
          <w:rFonts w:hint="eastAsia" w:ascii="Times New Roman" w:hAnsi="Times New Roman" w:eastAsia="仿宋_GB2312" w:cs="仿宋_GB2312"/>
          <w:sz w:val="30"/>
          <w:szCs w:val="30"/>
        </w:rPr>
        <w:br w:type="textWrapping"/>
      </w:r>
      <w:r>
        <w:rPr>
          <w:rFonts w:hint="eastAsia" w:ascii="Times New Roman" w:hAnsi="Times New Roman" w:eastAsia="仿宋_GB2312" w:cs="仿宋_GB2312"/>
          <w:sz w:val="30"/>
          <w:szCs w:val="30"/>
        </w:rPr>
        <w:t xml:space="preserve">    2.天津市北辰区市场监督管理局（本级）2023年度国有资本经营预算财政拨款收入支出决算表为空表。</w:t>
      </w:r>
    </w:p>
    <w:p>
      <w:pPr>
        <w:autoSpaceDE w:val="0"/>
        <w:autoSpaceDN w:val="0"/>
        <w:adjustRightInd w:val="0"/>
        <w:spacing w:line="600" w:lineRule="exact"/>
        <w:ind w:firstLine="601"/>
        <w:jc w:val="left"/>
        <w:rPr>
          <w:rFonts w:ascii="Times New Roman" w:hAnsi="Times New Roman" w:eastAsia="仿宋_GB2312" w:cs="仿宋_GB2312"/>
          <w:sz w:val="30"/>
          <w:szCs w:val="30"/>
        </w:rPr>
      </w:pPr>
    </w:p>
    <w:p>
      <w:pPr>
        <w:keepNext/>
        <w:keepLines/>
        <w:autoSpaceDE w:val="0"/>
        <w:autoSpaceDN w:val="0"/>
        <w:adjustRightInd w:val="0"/>
        <w:spacing w:line="600" w:lineRule="exact"/>
        <w:ind w:firstLine="600"/>
        <w:jc w:val="left"/>
        <w:outlineLvl w:val="1"/>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第三部分  2023年度部门决算情况说明</w:t>
      </w:r>
    </w:p>
    <w:p>
      <w:pPr>
        <w:autoSpaceDE w:val="0"/>
        <w:autoSpaceDN w:val="0"/>
        <w:adjustRightInd w:val="0"/>
        <w:spacing w:line="580" w:lineRule="exact"/>
        <w:ind w:firstLine="600"/>
        <w:jc w:val="left"/>
        <w:rPr>
          <w:rFonts w:ascii="Times New Roman" w:hAnsi="Times New Roman" w:eastAsia="黑体" w:cs="黑体"/>
          <w:sz w:val="30"/>
          <w:szCs w:val="30"/>
          <w:lang w:val="zh-CN"/>
        </w:rPr>
      </w:pP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一、收入支出决算总体情况说明</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lang w:val="zh-CN"/>
        </w:rPr>
        <w:t>天津市北辰区市场监督管理局(本级)2023年度收入、支出决算总计</w:t>
      </w:r>
      <w:r>
        <w:rPr>
          <w:rFonts w:hint="eastAsia" w:ascii="Times New Roman" w:hAnsi="Times New Roman" w:eastAsia="仿宋_GB2312" w:cs="仿宋_GB2312"/>
          <w:sz w:val="30"/>
          <w:szCs w:val="30"/>
        </w:rPr>
        <w:t>92,601,423.13元，与2022年度相比，收、支总计各增加17,323,322.70元，增长23.01%，</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二、</w:t>
      </w:r>
      <w:r>
        <w:rPr>
          <w:rFonts w:hint="eastAsia" w:ascii="Times New Roman" w:hAnsi="Times New Roman" w:eastAsia="黑体" w:cs="黑体"/>
          <w:b/>
          <w:bCs/>
          <w:kern w:val="0"/>
          <w:sz w:val="30"/>
          <w:szCs w:val="30"/>
        </w:rPr>
        <w:t>收入决算情况</w:t>
      </w:r>
      <w:r>
        <w:rPr>
          <w:rFonts w:hint="eastAsia" w:ascii="Times New Roman" w:hAnsi="Times New Roman" w:eastAsia="黑体" w:cs="黑体"/>
          <w:b/>
          <w:bCs/>
          <w:kern w:val="0"/>
          <w:sz w:val="30"/>
          <w:szCs w:val="30"/>
          <w:lang w:val="zh-CN"/>
        </w:rPr>
        <w:t>说明</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天津市北辰区市场监督管理局(本级)</w:t>
      </w:r>
      <w:r>
        <w:rPr>
          <w:rFonts w:hint="eastAsia" w:ascii="Times New Roman" w:hAnsi="Times New Roman" w:eastAsia="仿宋_GB2312" w:cs="Times New Roman"/>
          <w:sz w:val="30"/>
          <w:szCs w:val="30"/>
        </w:rPr>
        <w:t>2023</w:t>
      </w:r>
      <w:r>
        <w:rPr>
          <w:rFonts w:hint="eastAsia" w:ascii="Times New Roman" w:hAnsi="Times New Roman" w:eastAsia="仿宋_GB2312" w:cs="仿宋_GB2312"/>
          <w:sz w:val="30"/>
          <w:szCs w:val="30"/>
          <w:lang w:val="zh-CN"/>
        </w:rPr>
        <w:t>年度本年收入合计</w:t>
      </w:r>
      <w:r>
        <w:rPr>
          <w:rFonts w:hint="eastAsia" w:ascii="Times New Roman" w:hAnsi="Times New Roman" w:eastAsia="仿宋_GB2312" w:cs="Times New Roman"/>
          <w:sz w:val="30"/>
          <w:szCs w:val="30"/>
        </w:rPr>
        <w:t>92,601,423.13</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年度相比增加18,059,916.18元，</w:t>
      </w:r>
      <w:r>
        <w:rPr>
          <w:rFonts w:hint="eastAsia" w:ascii="Times New Roman" w:hAnsi="Times New Roman" w:eastAsia="仿宋_GB2312" w:cs="仿宋_GB2312"/>
          <w:kern w:val="0"/>
          <w:sz w:val="30"/>
          <w:szCs w:val="30"/>
          <w:lang w:val="zh-CN"/>
        </w:rPr>
        <w:t>主要原因是</w:t>
      </w:r>
      <w:r>
        <w:rPr>
          <w:rFonts w:hint="eastAsia" w:ascii="Times New Roman" w:hAnsi="Times New Roman" w:eastAsia="仿宋_GB2312" w:cs="仿宋_GB2312"/>
          <w:kern w:val="0"/>
          <w:sz w:val="30"/>
          <w:szCs w:val="30"/>
        </w:rPr>
        <w:t>：本年财政保障充足，财政拨款收入增加。</w:t>
      </w:r>
    </w:p>
    <w:p>
      <w:pPr>
        <w:autoSpaceDE w:val="0"/>
        <w:autoSpaceDN w:val="0"/>
        <w:adjustRightInd w:val="0"/>
        <w:spacing w:line="60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lang w:val="zh-CN"/>
        </w:rPr>
        <w:t>一般公共预算财政拨款收入</w:t>
      </w:r>
      <w:r>
        <w:rPr>
          <w:rFonts w:hint="eastAsia" w:ascii="Times New Roman" w:hAnsi="Times New Roman" w:eastAsia="仿宋_GB2312" w:cs="Times New Roman"/>
          <w:sz w:val="30"/>
          <w:szCs w:val="30"/>
        </w:rPr>
        <w:t>92,601,423.13</w:t>
      </w:r>
      <w:r>
        <w:rPr>
          <w:rFonts w:hint="eastAsia" w:ascii="Times New Roman" w:hAnsi="Times New Roman" w:eastAsia="仿宋_GB2312" w:cs="仿宋_GB2312"/>
          <w:sz w:val="30"/>
          <w:szCs w:val="30"/>
          <w:lang w:val="zh-CN"/>
        </w:rPr>
        <w:t>元</w:t>
      </w:r>
      <w:r>
        <w:rPr>
          <w:rFonts w:ascii="Times New Roman" w:hAnsi="Times New Roman" w:eastAsia="仿宋_GB2312" w:cs="仿宋_GB2312"/>
          <w:sz w:val="30"/>
          <w:szCs w:val="30"/>
          <w:lang w:val="zh-CN"/>
        </w:rPr>
        <w:t>，占</w:t>
      </w:r>
      <w:r>
        <w:rPr>
          <w:rFonts w:hint="eastAsia" w:ascii="Times New Roman" w:hAnsi="Times New Roman" w:eastAsia="仿宋_GB2312" w:cs="Times New Roman"/>
          <w:sz w:val="30"/>
          <w:szCs w:val="30"/>
        </w:rPr>
        <w:t>100.0</w:t>
      </w:r>
      <w:r>
        <w:rPr>
          <w:rFonts w:hint="eastAsia" w:ascii="Times New Roman" w:hAnsi="Times New Roman" w:eastAsia="宋体" w:cs="Times New Roman"/>
          <w:sz w:val="30"/>
          <w:szCs w:val="30"/>
        </w:rPr>
        <w:t>%；</w:t>
      </w:r>
      <w:r>
        <w:rPr>
          <w:rFonts w:ascii="Times New Roman" w:hAnsi="Times New Roman" w:eastAsia="仿宋_GB2312" w:cs="仿宋_GB2312"/>
          <w:sz w:val="30"/>
          <w:szCs w:val="30"/>
          <w:lang w:val="zh-CN"/>
        </w:rPr>
        <w:t>政府性基金预算财政拨款收入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国有资本经营预算财政拨款收入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财政专户管理资金收入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事业收入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事业单位经营收入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上级补助收入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eastAsia="仿宋_GB2312"/>
          <w:sz w:val="30"/>
          <w:szCs w:val="30"/>
        </w:rPr>
        <w:t>附属单位上缴收入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r>
        <w:rPr>
          <w:rFonts w:ascii="Times New Roman" w:hAnsi="Times New Roman" w:eastAsia="仿宋_GB2312" w:cs="仿宋_GB2312"/>
          <w:sz w:val="30"/>
          <w:szCs w:val="30"/>
          <w:lang w:val="zh-CN"/>
        </w:rPr>
        <w:t>其他收入</w:t>
      </w:r>
      <w:r>
        <w:rPr>
          <w:rFonts w:hint="eastAsia" w:ascii="Times New Roman" w:hAnsi="Times New Roman" w:eastAsia="仿宋_GB2312" w:cs="仿宋_GB2312"/>
          <w:sz w:val="30"/>
          <w:szCs w:val="30"/>
          <w:lang w:val="zh-CN"/>
        </w:rPr>
        <w:t>0.00元</w:t>
      </w:r>
      <w:r>
        <w:rPr>
          <w:rFonts w:ascii="Times New Roman" w:hAnsi="Times New Roman" w:eastAsia="仿宋_GB2312" w:cs="仿宋_GB2312"/>
          <w:sz w:val="30"/>
          <w:szCs w:val="30"/>
          <w:lang w:val="zh-CN"/>
        </w:rPr>
        <w:t>，</w:t>
      </w:r>
      <w:r>
        <w:rPr>
          <w:rFonts w:hint="eastAsia" w:ascii="Times New Roman" w:hAnsi="Times New Roman" w:eastAsia="仿宋_GB2312" w:cs="仿宋_GB2312"/>
          <w:kern w:val="0"/>
          <w:sz w:val="30"/>
          <w:szCs w:val="30"/>
        </w:rPr>
        <w:t>占</w:t>
      </w:r>
      <w:r>
        <w:rPr>
          <w:rFonts w:hint="eastAsia" w:ascii="Times New Roman" w:hAnsi="Times New Roman" w:eastAsia="仿宋_GB2312" w:cs="仿宋_GB2312"/>
          <w:sz w:val="30"/>
          <w:szCs w:val="30"/>
          <w:lang w:val="zh-CN"/>
        </w:rPr>
        <w:t>0.0%。</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三、支出</w:t>
      </w:r>
      <w:r>
        <w:rPr>
          <w:rFonts w:hint="eastAsia" w:ascii="Times New Roman" w:hAnsi="Times New Roman" w:eastAsia="黑体" w:cs="黑体"/>
          <w:b/>
          <w:bCs/>
          <w:kern w:val="0"/>
          <w:sz w:val="30"/>
          <w:szCs w:val="30"/>
        </w:rPr>
        <w:t>决算情况说明</w:t>
      </w:r>
    </w:p>
    <w:p>
      <w:pPr>
        <w:autoSpaceDE w:val="0"/>
        <w:autoSpaceDN w:val="0"/>
        <w:adjustRightInd w:val="0"/>
        <w:spacing w:line="58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天津市北辰区市场监督管理局(本级)</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年度本年支出合计92,601,423.13元，与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年度相比增加17,323,322.70元，</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本年财政保障充足，财政拨款收入增加。</w:t>
      </w:r>
    </w:p>
    <w:p>
      <w:pPr>
        <w:autoSpaceDE w:val="0"/>
        <w:autoSpaceDN w:val="0"/>
        <w:adjustRightInd w:val="0"/>
        <w:spacing w:line="580" w:lineRule="exact"/>
        <w:ind w:firstLine="600"/>
        <w:jc w:val="both"/>
        <w:rPr>
          <w:rFonts w:ascii="Times New Roman" w:hAnsi="Times New Roman" w:eastAsia="黑体" w:cs="黑体"/>
          <w:sz w:val="30"/>
          <w:szCs w:val="30"/>
          <w:lang w:val="zh-CN"/>
        </w:rPr>
      </w:pPr>
      <w:r>
        <w:rPr>
          <w:rFonts w:hint="eastAsia" w:ascii="Times New Roman" w:hAnsi="Times New Roman" w:eastAsia="仿宋_GB2312" w:cs="仿宋_GB2312"/>
          <w:sz w:val="30"/>
          <w:szCs w:val="30"/>
        </w:rPr>
        <w:t>其中：</w:t>
      </w:r>
      <w:r>
        <w:rPr>
          <w:rFonts w:ascii="Times New Roman" w:hAnsi="Times New Roman" w:eastAsia="仿宋_GB2312" w:cs="仿宋_GB2312"/>
          <w:sz w:val="30"/>
          <w:szCs w:val="30"/>
        </w:rPr>
        <w:t>基本支出</w:t>
      </w:r>
      <w:r>
        <w:rPr>
          <w:rFonts w:hint="eastAsia" w:ascii="Times New Roman" w:hAnsi="Times New Roman" w:eastAsia="仿宋_GB2312" w:cs="仿宋_GB2312"/>
          <w:sz w:val="30"/>
          <w:szCs w:val="30"/>
        </w:rPr>
        <w:t>77,383,244.51元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占83.57%；</w:t>
      </w:r>
      <w:r>
        <w:rPr>
          <w:rFonts w:ascii="Times New Roman" w:hAnsi="Times New Roman" w:eastAsia="仿宋_GB2312" w:cs="仿宋_GB2312"/>
          <w:sz w:val="30"/>
          <w:szCs w:val="30"/>
        </w:rPr>
        <w:t>项目支出</w:t>
      </w:r>
      <w:r>
        <w:rPr>
          <w:rFonts w:hint="eastAsia" w:ascii="Times New Roman" w:hAnsi="Times New Roman" w:eastAsia="仿宋_GB2312" w:cs="仿宋_GB2312"/>
          <w:sz w:val="30"/>
          <w:szCs w:val="30"/>
        </w:rPr>
        <w:t>15,218,178.62元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占16.43%；</w:t>
      </w:r>
      <w:r>
        <w:rPr>
          <w:rFonts w:ascii="Times New Roman" w:hAnsi="Times New Roman" w:eastAsia="仿宋_GB2312" w:cs="仿宋_GB2312"/>
          <w:sz w:val="30"/>
          <w:szCs w:val="30"/>
        </w:rPr>
        <w:t>上缴上级支出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r>
        <w:rPr>
          <w:rFonts w:ascii="Times New Roman" w:hAnsi="Times New Roman" w:eastAsia="仿宋_GB2312" w:cs="仿宋_GB2312"/>
          <w:sz w:val="30"/>
          <w:szCs w:val="30"/>
        </w:rPr>
        <w:t>经营支出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r>
        <w:rPr>
          <w:rFonts w:ascii="Times New Roman" w:hAnsi="Times New Roman" w:eastAsia="仿宋_GB2312" w:cs="仿宋_GB2312"/>
          <w:sz w:val="30"/>
          <w:szCs w:val="30"/>
        </w:rPr>
        <w:t>对附属单位补助支出</w:t>
      </w:r>
      <w:r>
        <w:rPr>
          <w:rFonts w:hint="eastAsia" w:ascii="Times New Roman" w:hAnsi="Times New Roman" w:eastAsia="仿宋_GB2312" w:cs="仿宋_GB2312"/>
          <w:sz w:val="30"/>
          <w:szCs w:val="30"/>
        </w:rPr>
        <w:t>0.00元</w:t>
      </w:r>
      <w:r>
        <w:rPr>
          <w:rFonts w:ascii="Times New Roman" w:hAnsi="Times New Roman" w:eastAsia="仿宋_GB2312" w:cs="仿宋_GB2312"/>
          <w:sz w:val="30"/>
          <w:szCs w:val="30"/>
        </w:rPr>
        <w:t>，</w:t>
      </w:r>
      <w:r>
        <w:rPr>
          <w:rFonts w:hint="eastAsia" w:ascii="Times New Roman" w:hAnsi="Times New Roman" w:eastAsia="仿宋_GB2312" w:cs="仿宋_GB2312"/>
          <w:sz w:val="30"/>
          <w:szCs w:val="30"/>
        </w:rPr>
        <w:t>占0.0%。</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四、财政拨款收支决算总体情况说明</w:t>
      </w:r>
    </w:p>
    <w:p>
      <w:pPr>
        <w:autoSpaceDE w:val="0"/>
        <w:autoSpaceDN w:val="0"/>
        <w:adjustRightInd w:val="0"/>
        <w:spacing w:line="580" w:lineRule="exact"/>
        <w:ind w:firstLine="60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天津市北辰区市场监督管理局(本级)</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年度财政拨款收入、支出决算总计</w:t>
      </w:r>
      <w:r>
        <w:rPr>
          <w:rFonts w:hint="eastAsia" w:ascii="Times New Roman" w:hAnsi="Times New Roman" w:eastAsia="仿宋_GB2312" w:cs="Times New Roman"/>
          <w:sz w:val="30"/>
          <w:szCs w:val="30"/>
          <w:lang w:val="zh-CN"/>
        </w:rPr>
        <w:t>92,601,423.13</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年度相比，财政拨款收、支总计各增加17,323,322.70元，增长23.01</w:t>
      </w:r>
      <w:r>
        <w:rPr>
          <w:rFonts w:hint="eastAsia" w:ascii="Times New Roman" w:hAnsi="Times New Roman" w:eastAsia="仿宋_GB2312" w:cs="Times New Roman"/>
          <w:sz w:val="30"/>
          <w:szCs w:val="30"/>
        </w:rPr>
        <w:t>%</w:t>
      </w:r>
      <w:r>
        <w:rPr>
          <w:rFonts w:hint="eastAsia" w:ascii="Times New Roman" w:hAnsi="Times New Roman" w:eastAsia="仿宋_GB2312" w:cs="仿宋_GB2312"/>
          <w:sz w:val="30"/>
          <w:szCs w:val="30"/>
        </w:rPr>
        <w:t>，</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lang w:val="zh-CN"/>
        </w:rPr>
      </w:pPr>
      <w:r>
        <w:rPr>
          <w:rFonts w:hint="eastAsia" w:ascii="Times New Roman" w:hAnsi="Times New Roman" w:eastAsia="黑体" w:cs="黑体"/>
          <w:b/>
          <w:bCs/>
          <w:kern w:val="0"/>
          <w:sz w:val="30"/>
          <w:szCs w:val="30"/>
          <w:lang w:val="zh-CN"/>
        </w:rPr>
        <w:t>五、一般公共预算财政拨款支出决算情况说明</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p>
    <w:p>
      <w:pPr>
        <w:autoSpaceDE w:val="0"/>
        <w:autoSpaceDN w:val="0"/>
        <w:adjustRightInd w:val="0"/>
        <w:spacing w:line="600" w:lineRule="exact"/>
        <w:ind w:firstLine="720"/>
        <w:jc w:val="both"/>
        <w:rPr>
          <w:rFonts w:ascii="Times New Roman" w:hAnsi="Times New Roman" w:eastAsia="仿宋_GB2312" w:cs="仿宋_GB2312"/>
          <w:sz w:val="30"/>
          <w:szCs w:val="30"/>
        </w:rPr>
      </w:pPr>
      <w:r>
        <w:rPr>
          <w:rFonts w:hint="eastAsia" w:ascii="Times New Roman" w:hAnsi="Times New Roman" w:eastAsia="仿宋_GB2312" w:cs="仿宋_GB2312"/>
          <w:sz w:val="30"/>
          <w:szCs w:val="30"/>
        </w:rPr>
        <w:t>天津市北辰区市场监督管理局(本级)2023年度部门决算一般公共预算财政拨款支出</w:t>
      </w:r>
      <w:r>
        <w:rPr>
          <w:rFonts w:hint="eastAsia" w:ascii="Times New Roman" w:hAnsi="Times New Roman" w:eastAsia="仿宋_GB2312" w:cs="仿宋_GB2312"/>
          <w:sz w:val="30"/>
          <w:szCs w:val="30"/>
          <w:lang w:val="zh-CN"/>
        </w:rPr>
        <w:t>合</w:t>
      </w:r>
      <w:r>
        <w:rPr>
          <w:rFonts w:hint="eastAsia" w:ascii="Times New Roman" w:hAnsi="Times New Roman" w:eastAsia="仿宋_GB2312" w:cs="仿宋_GB2312"/>
          <w:sz w:val="30"/>
          <w:szCs w:val="30"/>
        </w:rPr>
        <w:t>计92,601,423.13元，占本年支出合计的100.0%，与2022年度相比，一般公共预算财政拨款支出增加17,323,322.70元，增长23.01%，</w:t>
      </w:r>
      <w:r>
        <w:rPr>
          <w:rFonts w:hint="eastAsia" w:ascii="Times New Roman" w:hAnsi="Times New Roman" w:eastAsia="仿宋_GB2312" w:cs="仿宋_GB2312"/>
          <w:sz w:val="30"/>
          <w:szCs w:val="30"/>
          <w:lang w:val="zh-CN"/>
        </w:rPr>
        <w:t>主要原因是</w:t>
      </w:r>
      <w:r>
        <w:rPr>
          <w:rFonts w:hint="eastAsia" w:ascii="Times New Roman" w:hAnsi="Times New Roman" w:eastAsia="仿宋_GB2312" w:cs="仿宋_GB2312"/>
          <w:sz w:val="30"/>
          <w:szCs w:val="30"/>
        </w:rPr>
        <w:t>：本年财政保障充足，财政拨款收入增加。</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w:t>
      </w:r>
      <w:r>
        <w:rPr>
          <w:rFonts w:hint="eastAsia" w:ascii="Times New Roman" w:hAnsi="Times New Roman" w:eastAsia="楷体" w:cs="楷体"/>
          <w:b/>
          <w:bCs/>
          <w:kern w:val="0"/>
          <w:sz w:val="30"/>
          <w:szCs w:val="30"/>
          <w:lang w:val="zh-CN"/>
        </w:rPr>
        <w:t>支出结构</w:t>
      </w:r>
      <w:r>
        <w:rPr>
          <w:rFonts w:hint="eastAsia" w:ascii="Times New Roman" w:hAnsi="Times New Roman" w:eastAsia="楷体" w:cs="楷体"/>
          <w:b/>
          <w:bCs/>
          <w:kern w:val="0"/>
          <w:sz w:val="30"/>
          <w:szCs w:val="30"/>
        </w:rPr>
        <w:t>情况</w:t>
      </w:r>
    </w:p>
    <w:p>
      <w:pPr>
        <w:autoSpaceDE w:val="0"/>
        <w:autoSpaceDN w:val="0"/>
        <w:adjustRightInd w:val="0"/>
        <w:spacing w:line="600" w:lineRule="exact"/>
        <w:ind w:firstLine="720"/>
        <w:jc w:val="left"/>
        <w:rPr>
          <w:rFonts w:ascii="Times New Roman" w:hAnsi="Times New Roman" w:eastAsia="仿宋_GB2312" w:cs="仿宋_GB2312"/>
          <w:sz w:val="30"/>
          <w:szCs w:val="30"/>
        </w:rPr>
      </w:pPr>
      <w:r>
        <w:rPr>
          <w:rFonts w:hint="eastAsia" w:ascii="Times New Roman" w:hAnsi="Times New Roman" w:eastAsia="仿宋_GB2312" w:cs="仿宋_GB2312"/>
          <w:sz w:val="30"/>
          <w:szCs w:val="30"/>
        </w:rPr>
        <w:t>2023年度一般公共预算财政拨款支出</w:t>
      </w:r>
      <w:r>
        <w:rPr>
          <w:rFonts w:hint="eastAsia" w:ascii="Times New Roman" w:hAnsi="Times New Roman" w:eastAsia="仿宋_GB2312" w:cs="Times New Roman"/>
          <w:sz w:val="30"/>
          <w:szCs w:val="30"/>
        </w:rPr>
        <w:t>92,601,423.13</w:t>
      </w:r>
      <w:r>
        <w:rPr>
          <w:rFonts w:hint="eastAsia" w:ascii="Times New Roman" w:hAnsi="Times New Roman" w:eastAsia="仿宋_GB2312" w:cs="仿宋_GB2312"/>
          <w:sz w:val="30"/>
          <w:szCs w:val="30"/>
        </w:rPr>
        <w:t>元，</w:t>
      </w:r>
      <w:r>
        <w:rPr>
          <w:rFonts w:hint="eastAsia" w:ascii="Times New Roman" w:hAnsi="Times New Roman" w:eastAsia="仿宋_GB2312" w:cs="仿宋_GB2312"/>
          <w:kern w:val="0"/>
          <w:sz w:val="30"/>
          <w:szCs w:val="30"/>
        </w:rPr>
        <w:t>主要用于以下方面：</w:t>
      </w:r>
      <w:r>
        <w:rPr>
          <w:rFonts w:hint="eastAsia" w:ascii="Times New Roman" w:hAnsi="Times New Roman" w:eastAsia="仿宋_GB2312" w:cs="仿宋_GB2312"/>
          <w:sz w:val="30"/>
          <w:szCs w:val="30"/>
        </w:rPr>
        <w:t>一般公共服务支出89283830.78元，占96.42%；卫生健康支出3317592.35元，占3.58%。</w:t>
      </w:r>
    </w:p>
    <w:p>
      <w:pPr>
        <w:autoSpaceDE w:val="0"/>
        <w:autoSpaceDN w:val="0"/>
        <w:adjustRightInd w:val="0"/>
        <w:spacing w:line="600" w:lineRule="exact"/>
        <w:ind w:left="480"/>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（三）具体情况</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2023年度一般公共预算财政拨款支出年初预算为</w:t>
      </w:r>
      <w:r>
        <w:rPr>
          <w:rFonts w:hint="eastAsia" w:ascii="Times New Roman" w:hAnsi="Times New Roman" w:eastAsia="仿宋_GB2312" w:cs="Times New Roman"/>
          <w:sz w:val="30"/>
          <w:szCs w:val="30"/>
        </w:rPr>
        <w:t>72,070,017.07</w:t>
      </w:r>
      <w:r>
        <w:rPr>
          <w:rFonts w:hint="eastAsia" w:ascii="Times New Roman" w:hAnsi="Times New Roman" w:eastAsia="仿宋_GB2312" w:cs="仿宋_GB2312"/>
          <w:kern w:val="0"/>
          <w:sz w:val="30"/>
          <w:szCs w:val="30"/>
        </w:rPr>
        <w:t>元，支出决算为</w:t>
      </w:r>
      <w:r>
        <w:rPr>
          <w:rFonts w:hint="eastAsia" w:ascii="Times New Roman" w:hAnsi="Times New Roman" w:eastAsia="仿宋_GB2312" w:cs="Times New Roman"/>
          <w:sz w:val="30"/>
          <w:szCs w:val="30"/>
        </w:rPr>
        <w:t>92,601,423.13</w:t>
      </w:r>
      <w:r>
        <w:rPr>
          <w:rFonts w:hint="eastAsia" w:ascii="Times New Roman" w:hAnsi="Times New Roman" w:eastAsia="仿宋_GB2312" w:cs="仿宋_GB2312"/>
          <w:kern w:val="0"/>
          <w:sz w:val="30"/>
          <w:szCs w:val="30"/>
        </w:rPr>
        <w:t>元，完成年初预算的</w:t>
      </w:r>
      <w:r>
        <w:rPr>
          <w:rFonts w:hint="eastAsia" w:ascii="Times New Roman" w:hAnsi="Times New Roman" w:eastAsia="仿宋_GB2312" w:cs="Times New Roman"/>
          <w:sz w:val="30"/>
          <w:szCs w:val="30"/>
        </w:rPr>
        <w:t>128.49%</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sz w:val="30"/>
          <w:szCs w:val="30"/>
        </w:rPr>
        <w:t>1.一般公共服务支出（类）市场监督管理事务（款）食品安全监管（项）的年初预算数为0.00元。支出决算为3,385,705.00元，决算数大于年初预算数的主要原因是本年财政拨款增加。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2.卫生健康支出（类）行政事业单位医疗（款）公务员医疗补助（项）的年初预算数为536,023.68元。支出决算为501,067.34元，完成年初预算的93.48%，决算数小于年初预算数的主要原因是压减支出节约开支。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3.一般公共服务支出（类）知识产权事务（款）其他知识产权事务支出（项）的年初预算数为0.00元。支出决算为50,000.00元，决算数大于年初预算数的主要原因是本年财政拨款增加。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4.一般公共服务支出（类）市场监督管理事务（款）一般行政管理事务（项）的年初预算数为0.00元。支出决算为4,287,335.81元，决算数大于年初预算数的主要原因是上年部分款项结转至本年支付。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5.一般公共服务支出（类）市场监督管理事务（款）行政运行（项）的年初预算数为60,727,737.25元。支出决算为69,225,183.46元，完成年初预算的113.99%，决算数大于年初预算数的主要原因是年中因人员变动调整追加预算。</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6.一般公共服务支出（类）市场监督管理事务（款）信息化建设（项）的年初预算数为0.00元。支出决算为1,366,297.20元，决算数大于年初预算数的主要原因是本年财政拨款增加。</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7.卫生健康支出（类）行政事业单位医疗（款）事业单位医疗（项）的年初预算数为197,183.70元。支出决算为184,046.41元，完成年初预算的93.34%，决算数小于年初预算数的主要原因是压减支出节约开支。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8.一般公共服务支出（类）市场监督管理事务（款）质量安全监管（项）的年初预算数为0.00元。支出决算为745,700.00元，决算数大于年初预算数的主要原因是上年部分款项结转至本年支付。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9.卫生健康支出（类）行政事业单位医疗（款）其他行政事业单位医疗支出（项）的年初预算数为25,600.00元。支出决算为22,600.00元，完成年初预算的88.28%，决算数小于年初预算数的主要原因是压减支出节约开支。</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10.一般公共服务支出（类）市场监督管理事务（款）其他市场监督管理事务（项）的年初预算数为3,360,700.00元。支出决算为5,383,140.61元，完成年初预算的160.18%，决算数大于年初预算数的主要原因是上年部分款项结转至本年支付。</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11.一般公共服务支出（类）市场监督管理事务（款）事业运行（项）的年初预算数为4,408,648.12元。支出决算为4,840,468.70元，完成年初预算的109.79%，决算数大于年初预算数的主要原因是年中因人员变动调整追加预算。</w:t>
      </w:r>
      <w:r>
        <w:rPr>
          <w:rFonts w:hint="eastAsia" w:ascii="Times New Roman" w:hAnsi="Times New Roman" w:eastAsia="仿宋_GB2312" w:cs="仿宋_GB2312"/>
          <w:sz w:val="30"/>
          <w:szCs w:val="30"/>
        </w:rPr>
        <w:br w:type="textWrapping"/>
      </w:r>
      <w:r>
        <w:rPr>
          <w:rFonts w:ascii="Times New Roman" w:hAnsi="Times New Roman" w:eastAsia="仿宋_GB2312" w:cs="仿宋_GB2312"/>
          <w:sz w:val="30"/>
          <w:szCs w:val="30"/>
        </w:rPr>
        <w:t xml:space="preserve">    </w:t>
      </w:r>
      <w:r>
        <w:rPr>
          <w:rFonts w:hint="eastAsia" w:ascii="Times New Roman" w:hAnsi="Times New Roman" w:eastAsia="仿宋_GB2312" w:cs="仿宋_GB2312"/>
          <w:sz w:val="30"/>
          <w:szCs w:val="30"/>
        </w:rPr>
        <w:t>12.卫生健康支出（类）行政事业单位医疗（款）行政单位医疗（项）的年初预算数为2,814,124.32元。支出决算为2,609,878.60元，完成年初预算的92.74%，决算数小于年初预算数的主要原因是压减支出节约开支。</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六、一般公共预算财政拨款基本支出决算情况说明</w:t>
      </w:r>
    </w:p>
    <w:p>
      <w:pPr>
        <w:autoSpaceDE w:val="0"/>
        <w:autoSpaceDN w:val="0"/>
        <w:adjustRightInd w:val="0"/>
        <w:spacing w:line="600" w:lineRule="exact"/>
        <w:ind w:firstLine="720"/>
        <w:jc w:val="left"/>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天津市北辰区市场监督管理局(本级)</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年度部门决算一般公共预算财政拨款基本支出合计</w:t>
      </w:r>
      <w:r>
        <w:rPr>
          <w:rFonts w:hint="eastAsia" w:ascii="Times New Roman" w:hAnsi="Times New Roman" w:eastAsia="仿宋_GB2312" w:cs="Times New Roman"/>
          <w:sz w:val="30"/>
          <w:szCs w:val="30"/>
        </w:rPr>
        <w:t>77,383,244.51</w:t>
      </w:r>
      <w:r>
        <w:rPr>
          <w:rFonts w:hint="eastAsia" w:ascii="Times New Roman" w:hAnsi="Times New Roman" w:eastAsia="仿宋_GB2312" w:cs="仿宋_GB2312"/>
          <w:sz w:val="30"/>
          <w:szCs w:val="30"/>
        </w:rPr>
        <w:t>元，与</w:t>
      </w:r>
      <w:r>
        <w:rPr>
          <w:rFonts w:hint="eastAsia" w:ascii="Times New Roman" w:hAnsi="Times New Roman" w:eastAsia="仿宋_GB2312" w:cs="Times New Roman"/>
          <w:sz w:val="30"/>
          <w:szCs w:val="30"/>
        </w:rPr>
        <w:t>2022</w:t>
      </w:r>
      <w:r>
        <w:rPr>
          <w:rFonts w:hint="eastAsia" w:ascii="Times New Roman" w:hAnsi="Times New Roman" w:eastAsia="仿宋_GB2312" w:cs="仿宋_GB2312"/>
          <w:sz w:val="30"/>
          <w:szCs w:val="30"/>
        </w:rPr>
        <w:t>年度相比增加5,854,754.82元，</w:t>
      </w:r>
      <w:r>
        <w:rPr>
          <w:rFonts w:hint="eastAsia" w:ascii="Times New Roman" w:hAnsi="Times New Roman" w:eastAsia="仿宋_GB2312" w:cs="仿宋_GB2312"/>
          <w:kern w:val="0"/>
          <w:sz w:val="30"/>
          <w:szCs w:val="30"/>
        </w:rPr>
        <w:t>主要原因是</w:t>
      </w:r>
      <w:r>
        <w:rPr>
          <w:rFonts w:hint="eastAsia" w:ascii="Times New Roman" w:hAnsi="Times New Roman" w:eastAsia="楷体_GB2312" w:cs="楷体_GB2312"/>
          <w:sz w:val="30"/>
          <w:szCs w:val="30"/>
        </w:rPr>
        <w:t>：</w:t>
      </w:r>
      <w:r>
        <w:rPr>
          <w:rFonts w:hint="eastAsia" w:ascii="Times New Roman" w:hAnsi="Times New Roman" w:eastAsia="仿宋_GB2312" w:cs="仿宋_GB2312"/>
          <w:sz w:val="30"/>
          <w:szCs w:val="30"/>
        </w:rPr>
        <w:t>本年财政保障充足，财政拨款收入增加。</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人员经费</w:t>
      </w:r>
      <w:r>
        <w:rPr>
          <w:rFonts w:hint="eastAsia" w:ascii="Times New Roman" w:hAnsi="Times New Roman" w:eastAsia="仿宋_GB2312" w:cs="Times New Roman"/>
          <w:sz w:val="30"/>
          <w:szCs w:val="30"/>
        </w:rPr>
        <w:t>63,311,707.80</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主要包括基本工资、津贴补贴、奖金、绩效工资、机关事业单位基本养老保险缴费、职业年金缴费、职工基本医疗保险缴费、公务员医疗补助缴费、其他社会保障缴费、住房公积金、医疗费、其他工资福利支出、退休费、抚恤金、生活补助、医疗费补助、奖励金；</w:t>
      </w:r>
    </w:p>
    <w:p>
      <w:pPr>
        <w:autoSpaceDE w:val="0"/>
        <w:autoSpaceDN w:val="0"/>
        <w:adjustRightInd w:val="0"/>
        <w:spacing w:line="600" w:lineRule="exact"/>
        <w:ind w:firstLine="720"/>
        <w:jc w:val="both"/>
        <w:rPr>
          <w:rFonts w:ascii="Times New Roman" w:hAnsi="Times New Roman" w:eastAsia="黑体" w:cs="黑体"/>
          <w:b/>
          <w:bCs/>
          <w:kern w:val="0"/>
          <w:sz w:val="30"/>
          <w:szCs w:val="30"/>
        </w:rPr>
      </w:pPr>
      <w:r>
        <w:rPr>
          <w:rFonts w:hint="eastAsia" w:ascii="Times New Roman" w:hAnsi="Times New Roman" w:eastAsia="仿宋_GB2312" w:cs="仿宋_GB2312"/>
          <w:kern w:val="0"/>
          <w:sz w:val="30"/>
          <w:szCs w:val="30"/>
        </w:rPr>
        <w:t>公用经费</w:t>
      </w:r>
      <w:r>
        <w:rPr>
          <w:rFonts w:hint="eastAsia" w:ascii="Times New Roman" w:hAnsi="Times New Roman" w:eastAsia="仿宋_GB2312" w:cs="Times New Roman"/>
          <w:sz w:val="30"/>
          <w:szCs w:val="30"/>
        </w:rPr>
        <w:t>14,071,536.71</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主要包括办公费、印刷费、咨询费、水费、电费、邮电费、取暖费、物业管理费、差旅费、维修(护)费、租赁费、培训费、专用材料费、劳务费、委托业务费、工会经费、福利费、公务用车运行维护费、其他交通费用、税金及附加费用、其他商品和服务支出、办公设备购置。</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七、政府性基金预算财政拨款收支决算情况</w:t>
      </w:r>
    </w:p>
    <w:p>
      <w:pPr>
        <w:autoSpaceDE w:val="0"/>
        <w:autoSpaceDN w:val="0"/>
        <w:adjustRightInd w:val="0"/>
        <w:spacing w:line="580" w:lineRule="exact"/>
        <w:ind w:firstLine="600"/>
        <w:jc w:val="both"/>
        <w:rPr>
          <w:rFonts w:ascii="Times New Roman" w:hAnsi="Times New Roman" w:eastAsia="楷体" w:cs="楷体"/>
          <w:color w:val="auto"/>
          <w:kern w:val="0"/>
          <w:sz w:val="30"/>
          <w:szCs w:val="30"/>
          <w:highlight w:val="none"/>
        </w:rPr>
      </w:pPr>
      <w:r>
        <w:rPr>
          <w:rFonts w:hint="eastAsia" w:ascii="Times New Roman" w:hAnsi="Times New Roman" w:eastAsia="仿宋_GB2312" w:cs="仿宋_GB2312"/>
          <w:sz w:val="30"/>
          <w:szCs w:val="30"/>
        </w:rPr>
        <w:t>天津市北辰区市场监督管理局(本级)</w:t>
      </w:r>
      <w:r>
        <w:rPr>
          <w:rFonts w:hint="eastAsia" w:ascii="Times New Roman" w:hAnsi="Times New Roman" w:eastAsia="宋体" w:cs="宋体"/>
          <w:sz w:val="30"/>
          <w:szCs w:val="30"/>
        </w:rPr>
        <w:t>2023</w:t>
      </w:r>
      <w:r>
        <w:rPr>
          <w:rFonts w:hint="eastAsia" w:ascii="Times New Roman" w:hAnsi="Times New Roman" w:eastAsia="仿宋_GB2312" w:cs="仿宋_GB2312"/>
          <w:sz w:val="30"/>
          <w:szCs w:val="30"/>
        </w:rPr>
        <w:t>年度部门决算政府性基金预算财政拨款</w:t>
      </w:r>
      <w:r>
        <w:rPr>
          <w:rFonts w:hint="eastAsia" w:ascii="Times New Roman" w:hAnsi="Times New Roman" w:eastAsia="仿宋_GB2312" w:cs="仿宋_GB2312"/>
          <w:kern w:val="0"/>
          <w:sz w:val="30"/>
          <w:szCs w:val="30"/>
        </w:rPr>
        <w:t>年初结转和结余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元，收入</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支出</w:t>
      </w:r>
      <w:r>
        <w:rPr>
          <w:rFonts w:hint="eastAsia" w:ascii="Times New Roman" w:hAnsi="Times New Roman" w:eastAsia="仿宋_GB2312" w:cs="Times New Roman"/>
          <w:sz w:val="30"/>
          <w:szCs w:val="30"/>
        </w:rPr>
        <w:t>0.00</w:t>
      </w:r>
      <w:r>
        <w:rPr>
          <w:rFonts w:hint="eastAsia" w:ascii="Times New Roman" w:hAnsi="Times New Roman" w:eastAsia="仿宋_GB2312" w:cs="仿宋_GB2312"/>
          <w:sz w:val="30"/>
          <w:szCs w:val="30"/>
        </w:rPr>
        <w:t>元，年末结转和结余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sz w:val="30"/>
          <w:szCs w:val="30"/>
        </w:rPr>
        <w:t>元</w:t>
      </w:r>
      <w:r>
        <w:rPr>
          <w:rFonts w:hint="eastAsia" w:ascii="Times New Roman" w:hAnsi="Times New Roman" w:eastAsia="仿宋_GB2312" w:cs="仿宋_GB2312"/>
          <w:sz w:val="30"/>
          <w:szCs w:val="30"/>
          <w:highlight w:val="none"/>
        </w:rPr>
        <w:t>。与</w:t>
      </w:r>
      <w:r>
        <w:rPr>
          <w:rFonts w:hint="eastAsia" w:ascii="Times New Roman" w:hAnsi="Times New Roman" w:eastAsia="仿宋_GB2312" w:cs="Times New Roman"/>
          <w:sz w:val="30"/>
          <w:szCs w:val="30"/>
          <w:highlight w:val="none"/>
        </w:rPr>
        <w:t>2022</w:t>
      </w:r>
      <w:r>
        <w:rPr>
          <w:rFonts w:hint="eastAsia" w:ascii="Times New Roman" w:hAnsi="Times New Roman" w:eastAsia="仿宋_GB2312" w:cs="仿宋_GB2312"/>
          <w:sz w:val="30"/>
          <w:szCs w:val="30"/>
          <w:highlight w:val="none"/>
        </w:rPr>
        <w:t>年度相比，政府性基金财政拨款支出持平，</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r>
        <w:rPr>
          <w:rFonts w:hint="eastAsia" w:ascii="Times New Roman" w:hAnsi="Times New Roman" w:eastAsia="仿宋_GB2312" w:cs="仿宋_GB2312"/>
          <w:color w:val="auto"/>
          <w:sz w:val="30"/>
          <w:szCs w:val="30"/>
          <w:highlight w:val="none"/>
        </w:rPr>
        <w:t>天津市北辰区市场监督管理局（本级）2023年度无政府性基金预算财政拨款收入、支出和结转结余。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八、国有资本经营预算财政拨款收支决算情况说明</w:t>
      </w:r>
    </w:p>
    <w:p>
      <w:pPr>
        <w:autoSpaceDE w:val="0"/>
        <w:autoSpaceDN w:val="0"/>
        <w:adjustRightInd w:val="0"/>
        <w:spacing w:line="600" w:lineRule="exact"/>
        <w:ind w:firstLine="600"/>
        <w:jc w:val="both"/>
        <w:rPr>
          <w:rFonts w:ascii="Times New Roman" w:hAnsi="Times New Roman" w:eastAsia="仿宋_GB2312" w:cs="仿宋_GB2312"/>
          <w:color w:val="auto"/>
          <w:sz w:val="30"/>
          <w:szCs w:val="30"/>
        </w:rPr>
      </w:pPr>
      <w:r>
        <w:rPr>
          <w:rFonts w:hint="eastAsia" w:ascii="Times New Roman" w:hAnsi="Times New Roman" w:eastAsia="仿宋_GB2312" w:cs="仿宋_GB2312"/>
          <w:color w:val="000000"/>
          <w:kern w:val="0"/>
          <w:sz w:val="30"/>
          <w:szCs w:val="30"/>
        </w:rPr>
        <w:t>天津市北辰区市场监督管理局(本级)</w:t>
      </w:r>
      <w:r>
        <w:rPr>
          <w:rFonts w:hint="eastAsia" w:ascii="Times New Roman" w:hAnsi="Times New Roman" w:eastAsia="宋体" w:cs="宋体"/>
          <w:color w:val="000000"/>
          <w:kern w:val="0"/>
          <w:sz w:val="30"/>
          <w:szCs w:val="30"/>
        </w:rPr>
        <w:t>2023</w:t>
      </w:r>
      <w:r>
        <w:rPr>
          <w:rFonts w:hint="eastAsia" w:ascii="Times New Roman" w:hAnsi="Times New Roman" w:eastAsia="仿宋_GB2312" w:cs="仿宋_GB2312"/>
          <w:kern w:val="0"/>
          <w:sz w:val="30"/>
          <w:szCs w:val="30"/>
        </w:rPr>
        <w:t>年度部门决算国有资本经营预算财政拨款年初结转和结余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元，收入</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元，支出</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w:t>
      </w:r>
      <w:r>
        <w:rPr>
          <w:rFonts w:hint="eastAsia" w:ascii="Times New Roman" w:hAnsi="Times New Roman" w:eastAsia="仿宋_GB2312" w:cs="仿宋_GB2312"/>
          <w:sz w:val="30"/>
          <w:szCs w:val="30"/>
        </w:rPr>
        <w:t>年末结转和结余</w:t>
      </w:r>
      <w:r>
        <w:rPr>
          <w:rFonts w:hint="eastAsia" w:ascii="Times New Roman" w:hAnsi="Times New Roman" w:eastAsia="仿宋_GB2312" w:cs="Times New Roman"/>
          <w:sz w:val="30"/>
          <w:szCs w:val="30"/>
        </w:rPr>
        <w:t>0.00</w:t>
      </w:r>
      <w:r>
        <w:rPr>
          <w:rFonts w:hint="eastAsia" w:ascii="Times New Roman" w:hAnsi="Times New Roman" w:eastAsia="仿宋_GB2312" w:cs="仿宋_GB2312"/>
          <w:kern w:val="0"/>
          <w:sz w:val="30"/>
          <w:szCs w:val="30"/>
        </w:rPr>
        <w:t>元。与2022年度相比，国有资本经营预算财政拨款支出</w:t>
      </w:r>
      <w:r>
        <w:rPr>
          <w:rFonts w:hint="eastAsia" w:ascii="Times New Roman" w:hAnsi="Times New Roman" w:eastAsia="仿宋_GB2312" w:cs="仿宋_GB2312"/>
          <w:kern w:val="0"/>
          <w:sz w:val="30"/>
          <w:szCs w:val="30"/>
          <w:highlight w:val="none"/>
        </w:rPr>
        <w:t>持平</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w:t>
      </w:r>
      <w:r>
        <w:rPr>
          <w:rFonts w:hint="eastAsia" w:ascii="Times New Roman" w:hAnsi="Times New Roman" w:eastAsia="仿宋_GB2312" w:cs="仿宋_GB2312"/>
          <w:kern w:val="0"/>
          <w:sz w:val="30"/>
          <w:szCs w:val="30"/>
        </w:rPr>
        <w:t>原因是</w:t>
      </w:r>
      <w:r>
        <w:rPr>
          <w:rFonts w:hint="eastAsia" w:ascii="Times New Roman" w:hAnsi="Times New Roman" w:eastAsia="楷体_GB2312" w:cs="楷体_GB2312"/>
          <w:sz w:val="30"/>
          <w:szCs w:val="30"/>
          <w:lang w:val="zh-CN"/>
        </w:rPr>
        <w:t>：</w:t>
      </w:r>
      <w:r>
        <w:rPr>
          <w:rFonts w:hint="eastAsia" w:ascii="Times New Roman" w:hAnsi="Times New Roman" w:eastAsia="仿宋_GB2312" w:cs="仿宋_GB2312"/>
          <w:color w:val="auto"/>
          <w:sz w:val="30"/>
          <w:szCs w:val="30"/>
        </w:rPr>
        <w:t>天津市北辰区市场监督管理局（本级）2023年度无国有资本经营预算财政拨款收入、支出和结转结余。</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九、财政拨款</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三公</w:t>
      </w:r>
      <w:r>
        <w:rPr>
          <w:rFonts w:ascii="Times New Roman" w:hAnsi="Times New Roman" w:eastAsia="黑体" w:cs="黑体"/>
          <w:b/>
          <w:bCs/>
          <w:kern w:val="0"/>
          <w:sz w:val="30"/>
          <w:szCs w:val="30"/>
        </w:rPr>
        <w:t>”</w:t>
      </w:r>
      <w:r>
        <w:rPr>
          <w:rFonts w:hint="eastAsia" w:ascii="Times New Roman" w:hAnsi="Times New Roman" w:eastAsia="黑体" w:cs="黑体"/>
          <w:b/>
          <w:bCs/>
          <w:kern w:val="0"/>
          <w:sz w:val="30"/>
          <w:szCs w:val="30"/>
        </w:rPr>
        <w:t>经费</w:t>
      </w:r>
      <w:r>
        <w:rPr>
          <w:rFonts w:hint="eastAsia" w:ascii="Times New Roman" w:hAnsi="Times New Roman" w:eastAsia="黑体" w:cs="黑体"/>
          <w:b/>
          <w:bCs/>
          <w:kern w:val="0"/>
          <w:sz w:val="30"/>
          <w:szCs w:val="30"/>
          <w:lang w:val="zh-CN"/>
        </w:rPr>
        <w:t>支出决算</w:t>
      </w:r>
      <w:r>
        <w:rPr>
          <w:rFonts w:hint="eastAsia" w:ascii="Times New Roman" w:hAnsi="Times New Roman" w:eastAsia="黑体" w:cs="黑体"/>
          <w:b/>
          <w:bCs/>
          <w:kern w:val="0"/>
          <w:sz w:val="30"/>
          <w:szCs w:val="30"/>
        </w:rPr>
        <w:t>情况</w:t>
      </w:r>
    </w:p>
    <w:p>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（一）总体情况</w:t>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r>
        <w:rPr>
          <w:rFonts w:hint="eastAsia" w:ascii="Times New Roman" w:hAnsi="Times New Roman" w:eastAsia="楷体" w:cs="楷体"/>
          <w:b/>
          <w:bCs/>
          <w:kern w:val="0"/>
          <w:sz w:val="30"/>
          <w:szCs w:val="30"/>
        </w:rPr>
        <w:tab/>
      </w:r>
    </w:p>
    <w:p>
      <w:pPr>
        <w:autoSpaceDE w:val="0"/>
        <w:autoSpaceDN w:val="0"/>
        <w:adjustRightInd w:val="0"/>
        <w:spacing w:line="600" w:lineRule="exact"/>
        <w:ind w:firstLine="600"/>
        <w:jc w:val="both"/>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3年财政拨款</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经费预算</w:t>
      </w:r>
      <w:r>
        <w:rPr>
          <w:rFonts w:hint="eastAsia" w:ascii="Times New Roman" w:hAnsi="Times New Roman" w:eastAsia="仿宋_GB2312" w:cs="Times New Roman"/>
          <w:kern w:val="0"/>
          <w:sz w:val="30"/>
          <w:szCs w:val="30"/>
        </w:rPr>
        <w:t>312,000.00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309,951.70</w:t>
      </w:r>
      <w:r>
        <w:rPr>
          <w:rFonts w:hint="eastAsia" w:ascii="Times New Roman" w:hAnsi="Times New Roman" w:eastAsia="仿宋_GB2312" w:cs="仿宋_GB2312"/>
          <w:kern w:val="0"/>
          <w:sz w:val="30"/>
          <w:szCs w:val="30"/>
        </w:rPr>
        <w:t>元，与</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2,048.30</w:t>
      </w:r>
      <w:r>
        <w:rPr>
          <w:rFonts w:hint="eastAsia" w:ascii="Times New Roman" w:hAnsi="Times New Roman" w:eastAsia="仿宋_GB2312" w:cs="仿宋_GB2312"/>
          <w:kern w:val="0"/>
          <w:sz w:val="30"/>
          <w:szCs w:val="30"/>
        </w:rPr>
        <w:t>元，完成预算的99.34</w:t>
      </w:r>
      <w:r>
        <w:rPr>
          <w:rFonts w:hint="eastAsia" w:ascii="Times New Roman" w:hAnsi="Times New Roman" w:eastAsia="仿宋_GB2312" w:cs="仿宋_GB2312"/>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28,753.00元，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10.23</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p>
    <w:p>
      <w:pPr>
        <w:autoSpaceDE w:val="0"/>
        <w:autoSpaceDN w:val="0"/>
        <w:adjustRightInd w:val="0"/>
        <w:spacing w:line="600" w:lineRule="exact"/>
        <w:ind w:firstLine="602"/>
        <w:jc w:val="left"/>
        <w:rPr>
          <w:rFonts w:ascii="Times New Roman" w:hAnsi="Times New Roman" w:eastAsia="楷体" w:cs="楷体"/>
          <w:b/>
          <w:bCs/>
          <w:kern w:val="0"/>
          <w:sz w:val="30"/>
          <w:szCs w:val="30"/>
        </w:rPr>
      </w:pPr>
      <w:r>
        <w:rPr>
          <w:rFonts w:hint="eastAsia" w:ascii="Times New Roman" w:hAnsi="Times New Roman" w:eastAsia="楷体" w:cs="楷体"/>
          <w:b/>
          <w:bCs/>
          <w:kern w:val="0"/>
          <w:sz w:val="30"/>
          <w:szCs w:val="30"/>
        </w:rPr>
        <w:t>（二）具体情况</w:t>
      </w:r>
    </w:p>
    <w:p>
      <w:pPr>
        <w:autoSpaceDE w:val="0"/>
        <w:autoSpaceDN w:val="0"/>
        <w:adjustRightInd w:val="0"/>
        <w:spacing w:line="600" w:lineRule="exact"/>
        <w:ind w:firstLine="600"/>
        <w:jc w:val="both"/>
        <w:rPr>
          <w:rFonts w:ascii="Times New Roman" w:hAnsi="Times New Roman" w:eastAsia="仿宋_GB2312" w:cs="仿宋_GB2312"/>
          <w:color w:val="auto"/>
          <w:kern w:val="0"/>
          <w:sz w:val="30"/>
          <w:szCs w:val="30"/>
          <w:highlight w:val="none"/>
        </w:rPr>
      </w:pPr>
      <w:r>
        <w:rPr>
          <w:rFonts w:ascii="Times New Roman" w:hAnsi="Times New Roman" w:eastAsia="仿宋_GB2312" w:cs="仿宋_GB2312"/>
          <w:kern w:val="0"/>
          <w:sz w:val="30"/>
          <w:szCs w:val="30"/>
        </w:rPr>
        <w:t>1.</w:t>
      </w:r>
      <w:r>
        <w:rPr>
          <w:rFonts w:hint="eastAsia" w:ascii="Times New Roman" w:hAnsi="Times New Roman" w:eastAsia="仿宋_GB2312" w:cs="仿宋_GB2312"/>
          <w:kern w:val="0"/>
          <w:sz w:val="30"/>
          <w:szCs w:val="30"/>
        </w:rPr>
        <w:t>因公出国（境）费预算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，完成预算的0.0</w:t>
      </w:r>
      <w:r>
        <w:rPr>
          <w:rFonts w:hint="eastAsia" w:ascii="Times New Roman" w:hAnsi="Times New Roman" w:eastAsia="仿宋_GB2312" w:cs="Times New Roman"/>
          <w:sz w:val="30"/>
          <w:szCs w:val="30"/>
          <w:highlight w:val="none"/>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color w:val="auto"/>
          <w:kern w:val="0"/>
          <w:sz w:val="30"/>
          <w:szCs w:val="30"/>
          <w:highlight w:val="none"/>
        </w:rPr>
        <w:t>决算数</w:t>
      </w:r>
      <w:r>
        <w:rPr>
          <w:rFonts w:hint="eastAsia" w:ascii="Times New Roman" w:hAnsi="Times New Roman" w:eastAsia="仿宋_GB2312" w:cs="仿宋_GB2312"/>
          <w:color w:val="auto"/>
          <w:sz w:val="30"/>
          <w:szCs w:val="30"/>
          <w:highlight w:val="none"/>
        </w:rPr>
        <w:t>等于</w:t>
      </w:r>
      <w:r>
        <w:rPr>
          <w:rFonts w:hint="eastAsia" w:ascii="Times New Roman" w:hAnsi="Times New Roman" w:eastAsia="仿宋_GB2312" w:cs="仿宋_GB2312"/>
          <w:color w:val="auto"/>
          <w:kern w:val="0"/>
          <w:sz w:val="30"/>
          <w:szCs w:val="30"/>
          <w:highlight w:val="none"/>
        </w:rPr>
        <w:t>预算数的主要原因是：</w:t>
      </w:r>
      <w:r>
        <w:rPr>
          <w:rFonts w:hint="eastAsia" w:ascii="Times New Roman" w:hAnsi="Times New Roman" w:eastAsia="仿宋_GB2312" w:cs="仿宋_GB2312"/>
          <w:color w:val="auto"/>
          <w:sz w:val="30"/>
          <w:szCs w:val="30"/>
          <w:highlight w:val="none"/>
        </w:rPr>
        <w:t>本年未用财政拨款经费列支因公出国（境）费</w:t>
      </w:r>
      <w:r>
        <w:rPr>
          <w:rFonts w:hint="eastAsia" w:ascii="Times New Roman" w:hAnsi="Times New Roman" w:eastAsia="仿宋_GB2312" w:cs="仿宋_GB2312"/>
          <w:color w:val="auto"/>
          <w:kern w:val="0"/>
          <w:sz w:val="30"/>
          <w:szCs w:val="30"/>
          <w:highlight w:val="none"/>
        </w:rPr>
        <w:t>；决算数较上年</w:t>
      </w:r>
      <w:r>
        <w:rPr>
          <w:rFonts w:hint="eastAsia" w:ascii="Times New Roman" w:hAnsi="Times New Roman" w:eastAsia="仿宋_GB2312" w:cs="仿宋_GB2312"/>
          <w:color w:val="auto"/>
          <w:sz w:val="30"/>
          <w:szCs w:val="30"/>
          <w:highlight w:val="none"/>
        </w:rPr>
        <w:t>持平</w:t>
      </w:r>
      <w:r>
        <w:rPr>
          <w:rFonts w:hint="eastAsia" w:ascii="Times New Roman" w:hAnsi="Times New Roman" w:eastAsia="仿宋_GB2312" w:cs="仿宋_GB2312"/>
          <w:color w:val="auto"/>
          <w:kern w:val="0"/>
          <w:sz w:val="30"/>
          <w:szCs w:val="30"/>
          <w:highlight w:val="none"/>
        </w:rPr>
        <w:t>的主要原因是：</w:t>
      </w:r>
      <w:r>
        <w:rPr>
          <w:rFonts w:hint="eastAsia" w:ascii="Times New Roman" w:hAnsi="Times New Roman" w:eastAsia="仿宋_GB2312" w:cs="仿宋_GB2312"/>
          <w:color w:val="auto"/>
          <w:sz w:val="30"/>
          <w:szCs w:val="30"/>
          <w:highlight w:val="none"/>
        </w:rPr>
        <w:t>本年未用财政拨款经费列支因公出国（境）费。</w:t>
      </w:r>
    </w:p>
    <w:p>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3年本单位组织的出国团组</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个，出国</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pPr>
        <w:autoSpaceDE w:val="0"/>
        <w:autoSpaceDN w:val="0"/>
        <w:adjustRightInd w:val="0"/>
        <w:spacing w:line="600" w:lineRule="exact"/>
        <w:ind w:firstLine="600"/>
        <w:jc w:val="both"/>
        <w:rPr>
          <w:rFonts w:ascii="Times New Roman" w:hAnsi="Times New Roman" w:eastAsia="仿宋_GB2312" w:cs="Times New Roman"/>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公务用车购置及运行维护费预算</w:t>
      </w:r>
      <w:r>
        <w:rPr>
          <w:rFonts w:hint="eastAsia" w:ascii="Times New Roman" w:hAnsi="Times New Roman" w:eastAsia="仿宋_GB2312" w:cs="Times New Roman"/>
          <w:kern w:val="0"/>
          <w:sz w:val="30"/>
          <w:szCs w:val="30"/>
        </w:rPr>
        <w:t>312,000.00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309,951.70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2,048.30</w:t>
      </w:r>
      <w:r>
        <w:rPr>
          <w:rFonts w:hint="eastAsia" w:ascii="Times New Roman" w:hAnsi="Times New Roman" w:eastAsia="仿宋_GB2312" w:cs="仿宋_GB2312"/>
          <w:kern w:val="0"/>
          <w:sz w:val="30"/>
          <w:szCs w:val="30"/>
        </w:rPr>
        <w:t>元，完成预算的99.34</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28,753.00元，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10.23</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r>
        <w:rPr>
          <w:rFonts w:hint="eastAsia" w:ascii="Times New Roman" w:hAnsi="Times New Roman" w:eastAsia="仿宋_GB2312" w:cs="仿宋_GB2312"/>
          <w:kern w:val="0"/>
          <w:sz w:val="30"/>
          <w:szCs w:val="30"/>
        </w:rPr>
        <w:t>其中：</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公务用车运行维护费预算</w:t>
      </w:r>
      <w:r>
        <w:rPr>
          <w:rFonts w:hint="eastAsia" w:ascii="Times New Roman" w:hAnsi="Times New Roman" w:eastAsia="仿宋_GB2312" w:cs="Times New Roman"/>
          <w:kern w:val="0"/>
          <w:sz w:val="30"/>
          <w:szCs w:val="30"/>
        </w:rPr>
        <w:t>312,000.00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309,951.70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rPr>
        <w:t>减少</w:t>
      </w:r>
      <w:r>
        <w:rPr>
          <w:rFonts w:hint="eastAsia" w:ascii="Times New Roman" w:hAnsi="Times New Roman" w:eastAsia="仿宋_GB2312" w:cs="Times New Roman"/>
          <w:kern w:val="0"/>
          <w:sz w:val="30"/>
          <w:szCs w:val="30"/>
        </w:rPr>
        <w:t>2,048.30</w:t>
      </w:r>
      <w:r>
        <w:rPr>
          <w:rFonts w:hint="eastAsia" w:ascii="Times New Roman" w:hAnsi="Times New Roman" w:eastAsia="仿宋_GB2312" w:cs="仿宋_GB2312"/>
          <w:kern w:val="0"/>
          <w:sz w:val="30"/>
          <w:szCs w:val="30"/>
        </w:rPr>
        <w:t>元，完成预算的99.34</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28,753.00元，</w:t>
      </w:r>
      <w:r>
        <w:rPr>
          <w:rFonts w:hint="eastAsia" w:ascii="Times New Roman" w:hAnsi="Times New Roman" w:eastAsia="仿宋_GB2312" w:cs="仿宋_GB2312"/>
          <w:sz w:val="30"/>
          <w:szCs w:val="30"/>
        </w:rPr>
        <w:t>增长</w:t>
      </w:r>
      <w:r>
        <w:rPr>
          <w:rFonts w:hint="eastAsia" w:ascii="Times New Roman" w:hAnsi="Times New Roman" w:eastAsia="仿宋_GB2312" w:cs="仿宋_GB2312"/>
          <w:kern w:val="0"/>
          <w:sz w:val="30"/>
          <w:szCs w:val="30"/>
        </w:rPr>
        <w:t>10.23</w:t>
      </w:r>
      <w:r>
        <w:rPr>
          <w:rFonts w:hint="eastAsia" w:ascii="Times New Roman" w:hAnsi="Times New Roman" w:eastAsia="仿宋_GB2312" w:cs="Times New Roman"/>
          <w:sz w:val="30"/>
          <w:szCs w:val="30"/>
        </w:rPr>
        <w:t>%</w:t>
      </w:r>
      <w:r>
        <w:rPr>
          <w:rFonts w:hint="eastAsia" w:ascii="Times New Roman" w:hAnsi="Times New Roman" w:eastAsia="仿宋_GB2312" w:cs="仿宋_GB2312"/>
          <w:kern w:val="0"/>
          <w:sz w:val="30"/>
          <w:szCs w:val="30"/>
        </w:rPr>
        <w:t>。决算数</w:t>
      </w:r>
      <w:r>
        <w:rPr>
          <w:rFonts w:hint="eastAsia" w:ascii="Times New Roman" w:hAnsi="Times New Roman" w:eastAsia="仿宋_GB2312" w:cs="仿宋_GB2312"/>
          <w:sz w:val="30"/>
          <w:szCs w:val="30"/>
        </w:rPr>
        <w:t>小于</w:t>
      </w:r>
      <w:r>
        <w:rPr>
          <w:rFonts w:hint="eastAsia" w:ascii="Times New Roman" w:hAnsi="Times New Roman" w:eastAsia="仿宋_GB2312" w:cs="仿宋_GB2312"/>
          <w:kern w:val="0"/>
          <w:sz w:val="30"/>
          <w:szCs w:val="30"/>
        </w:rPr>
        <w:t>预算数的主要原因是：</w:t>
      </w:r>
      <w:r>
        <w:rPr>
          <w:rFonts w:hint="eastAsia" w:ascii="Times New Roman" w:hAnsi="Times New Roman" w:eastAsia="仿宋_GB2312" w:cs="仿宋_GB2312"/>
          <w:sz w:val="30"/>
          <w:szCs w:val="30"/>
        </w:rPr>
        <w:t>节约开支</w:t>
      </w:r>
      <w:r>
        <w:rPr>
          <w:rFonts w:hint="eastAsia" w:ascii="Times New Roman" w:hAnsi="Times New Roman" w:eastAsia="仿宋_GB2312" w:cs="仿宋_GB2312"/>
          <w:kern w:val="0"/>
          <w:sz w:val="30"/>
          <w:szCs w:val="30"/>
        </w:rPr>
        <w:t>；决算数较上年</w:t>
      </w:r>
      <w:r>
        <w:rPr>
          <w:rFonts w:hint="eastAsia" w:ascii="Times New Roman" w:hAnsi="Times New Roman" w:eastAsia="仿宋_GB2312" w:cs="仿宋_GB2312"/>
          <w:sz w:val="30"/>
          <w:szCs w:val="30"/>
        </w:rPr>
        <w:t>增加</w:t>
      </w:r>
      <w:r>
        <w:rPr>
          <w:rFonts w:hint="eastAsia" w:ascii="Times New Roman" w:hAnsi="Times New Roman" w:eastAsia="仿宋_GB2312" w:cs="仿宋_GB2312"/>
          <w:kern w:val="0"/>
          <w:sz w:val="30"/>
          <w:szCs w:val="30"/>
        </w:rPr>
        <w:t>的主要原因是：</w:t>
      </w:r>
      <w:r>
        <w:rPr>
          <w:rFonts w:hint="eastAsia" w:ascii="Times New Roman" w:hAnsi="Times New Roman" w:eastAsia="仿宋_GB2312" w:cs="仿宋_GB2312"/>
          <w:sz w:val="30"/>
          <w:szCs w:val="30"/>
        </w:rPr>
        <w:t>执法执勤车辆老化，我单位加强了车辆的检查和维修力度，致使车辆维修费用增加。</w:t>
      </w:r>
    </w:p>
    <w:p>
      <w:pPr>
        <w:autoSpaceDE w:val="0"/>
        <w:autoSpaceDN w:val="0"/>
        <w:adjustRightInd w:val="0"/>
        <w:spacing w:line="600" w:lineRule="exact"/>
        <w:ind w:firstLine="600"/>
        <w:jc w:val="left"/>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截至</w:t>
      </w: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w:t>
      </w:r>
      <w:r>
        <w:rPr>
          <w:rFonts w:ascii="Times New Roman" w:hAnsi="Times New Roman" w:eastAsia="仿宋_GB2312" w:cs="仿宋_GB2312"/>
          <w:kern w:val="0"/>
          <w:sz w:val="30"/>
          <w:szCs w:val="30"/>
        </w:rPr>
        <w:t>12</w:t>
      </w:r>
      <w:r>
        <w:rPr>
          <w:rFonts w:hint="eastAsia" w:ascii="Times New Roman" w:hAnsi="Times New Roman" w:eastAsia="仿宋_GB2312" w:cs="仿宋_GB2312"/>
          <w:kern w:val="0"/>
          <w:sz w:val="30"/>
          <w:szCs w:val="30"/>
        </w:rPr>
        <w:t>月</w:t>
      </w:r>
      <w:r>
        <w:rPr>
          <w:rFonts w:ascii="Times New Roman" w:hAnsi="Times New Roman" w:eastAsia="仿宋_GB2312" w:cs="仿宋_GB2312"/>
          <w:kern w:val="0"/>
          <w:sz w:val="30"/>
          <w:szCs w:val="30"/>
        </w:rPr>
        <w:t>31</w:t>
      </w:r>
      <w:r>
        <w:rPr>
          <w:rFonts w:hint="eastAsia" w:ascii="Times New Roman" w:hAnsi="Times New Roman" w:eastAsia="仿宋_GB2312" w:cs="仿宋_GB2312"/>
          <w:kern w:val="0"/>
          <w:sz w:val="30"/>
          <w:szCs w:val="30"/>
        </w:rPr>
        <w:t>日，使用财政拨款开支运行维护费的公务用车保有量为</w:t>
      </w:r>
      <w:r>
        <w:rPr>
          <w:rFonts w:hint="eastAsia" w:ascii="Times New Roman" w:hAnsi="Times New Roman" w:eastAsia="仿宋_GB2312" w:cs="Times New Roman"/>
          <w:kern w:val="0"/>
          <w:sz w:val="30"/>
          <w:szCs w:val="30"/>
        </w:rPr>
        <w:t>41</w:t>
      </w:r>
      <w:r>
        <w:rPr>
          <w:rFonts w:hint="eastAsia" w:ascii="Times New Roman" w:hAnsi="Times New Roman" w:eastAsia="仿宋_GB2312" w:cs="仿宋_GB2312"/>
          <w:kern w:val="0"/>
          <w:sz w:val="30"/>
          <w:szCs w:val="30"/>
        </w:rPr>
        <w:t>辆。</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公务用车购置费预算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元，与预算相比</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，完成预算的0.0</w:t>
      </w:r>
      <w:r>
        <w:rPr>
          <w:rFonts w:hint="eastAsia" w:ascii="Times New Roman" w:hAnsi="Times New Roman" w:eastAsia="仿宋_GB2312" w:cs="Times New Roman"/>
          <w:sz w:val="30"/>
          <w:szCs w:val="30"/>
          <w:highlight w:val="none"/>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rPr>
        <w:t>本年度未用财政拨款经费购置公</w:t>
      </w:r>
      <w:bookmarkStart w:id="0" w:name="_GoBack"/>
      <w:bookmarkEnd w:id="0"/>
      <w:r>
        <w:rPr>
          <w:rFonts w:hint="eastAsia" w:ascii="Times New Roman" w:hAnsi="Times New Roman" w:eastAsia="仿宋_GB2312" w:cs="仿宋_GB2312"/>
          <w:sz w:val="30"/>
          <w:szCs w:val="30"/>
          <w:highlight w:val="none"/>
        </w:rPr>
        <w:t>务用车</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rPr>
        <w:t>本年度未</w:t>
      </w:r>
      <w:r>
        <w:rPr>
          <w:rFonts w:hint="eastAsia" w:ascii="Times New Roman" w:hAnsi="Times New Roman" w:eastAsia="仿宋_GB2312" w:cs="仿宋_GB2312"/>
          <w:sz w:val="30"/>
          <w:szCs w:val="30"/>
        </w:rPr>
        <w:t>用财政拨款经费购置公务用车。</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3年购置公务用车</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辆。</w:t>
      </w:r>
    </w:p>
    <w:p>
      <w:pPr>
        <w:autoSpaceDE w:val="0"/>
        <w:autoSpaceDN w:val="0"/>
        <w:adjustRightInd w:val="0"/>
        <w:spacing w:line="600" w:lineRule="exact"/>
        <w:ind w:firstLine="645"/>
        <w:jc w:val="both"/>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公务接待费预算</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kern w:val="0"/>
          <w:sz w:val="30"/>
          <w:szCs w:val="30"/>
        </w:rPr>
        <w:t>元，支出决算</w:t>
      </w:r>
      <w:r>
        <w:rPr>
          <w:rFonts w:hint="eastAsia" w:ascii="Times New Roman" w:hAnsi="Times New Roman" w:eastAsia="仿宋_GB2312" w:cs="Times New Roman"/>
          <w:kern w:val="0"/>
          <w:sz w:val="30"/>
          <w:szCs w:val="30"/>
        </w:rPr>
        <w:t>0</w:t>
      </w:r>
      <w:r>
        <w:rPr>
          <w:rFonts w:hint="eastAsia" w:ascii="Times New Roman" w:hAnsi="Times New Roman" w:eastAsia="仿宋_GB2312" w:cs="Times New Roman"/>
          <w:kern w:val="0"/>
          <w:sz w:val="30"/>
          <w:szCs w:val="30"/>
          <w:highlight w:val="none"/>
        </w:rPr>
        <w:t>.00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，完成预算的0.0</w:t>
      </w:r>
      <w:r>
        <w:rPr>
          <w:rFonts w:hint="eastAsia" w:ascii="Times New Roman" w:hAnsi="Times New Roman" w:eastAsia="仿宋_GB2312" w:cs="Times New Roman"/>
          <w:sz w:val="30"/>
          <w:szCs w:val="30"/>
          <w:highlight w:val="none"/>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rPr>
        <w:t>本年度未用财政拨款经费列支公务接待费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rPr>
        <w:t>本年度未用财政拨款经费列支公务接待</w:t>
      </w:r>
      <w:r>
        <w:rPr>
          <w:rFonts w:hint="eastAsia" w:ascii="Times New Roman" w:hAnsi="Times New Roman" w:eastAsia="仿宋_GB2312" w:cs="仿宋_GB2312"/>
          <w:sz w:val="30"/>
          <w:szCs w:val="30"/>
        </w:rPr>
        <w:t>费。</w:t>
      </w:r>
    </w:p>
    <w:p>
      <w:pPr>
        <w:autoSpaceDE w:val="0"/>
        <w:autoSpaceDN w:val="0"/>
        <w:adjustRightInd w:val="0"/>
        <w:spacing w:line="600" w:lineRule="exact"/>
        <w:ind w:firstLine="645"/>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202</w:t>
      </w:r>
      <w:r>
        <w:rPr>
          <w:rFonts w:hint="eastAsia" w:ascii="Times New Roman" w:hAnsi="Times New Roman" w:eastAsia="仿宋_GB2312" w:cs="仿宋_GB2312"/>
          <w:kern w:val="0"/>
          <w:sz w:val="30"/>
          <w:szCs w:val="30"/>
        </w:rPr>
        <w:t>3年本单位国内公务接待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人次；其中，外事接待</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批次，</w:t>
      </w:r>
      <w:r>
        <w:rPr>
          <w:rFonts w:hint="eastAsia" w:ascii="Times New Roman" w:hAnsi="Times New Roman" w:eastAsia="仿宋_GB2312" w:cs="Times New Roman"/>
          <w:kern w:val="0"/>
          <w:sz w:val="30"/>
          <w:szCs w:val="30"/>
        </w:rPr>
        <w:t>0</w:t>
      </w:r>
      <w:r>
        <w:rPr>
          <w:rFonts w:hint="eastAsia" w:ascii="Times New Roman" w:hAnsi="Times New Roman" w:eastAsia="仿宋_GB2312" w:cs="仿宋_GB2312"/>
          <w:kern w:val="0"/>
          <w:sz w:val="30"/>
          <w:szCs w:val="30"/>
        </w:rPr>
        <w:t>人次。</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十、机关运行经费支出情况说明</w:t>
      </w:r>
    </w:p>
    <w:p>
      <w:pPr>
        <w:autoSpaceDE w:val="0"/>
        <w:autoSpaceDN w:val="0"/>
        <w:adjustRightInd w:val="0"/>
        <w:spacing w:line="580" w:lineRule="exact"/>
        <w:ind w:firstLine="600"/>
        <w:jc w:val="both"/>
        <w:rPr>
          <w:rFonts w:ascii="Times New Roman" w:hAnsi="Times New Roman" w:eastAsia="仿宋_GB2312" w:cs="Times New Roman"/>
          <w:kern w:val="0"/>
          <w:sz w:val="30"/>
          <w:szCs w:val="30"/>
        </w:rPr>
      </w:pPr>
      <w:r>
        <w:rPr>
          <w:rFonts w:hint="eastAsia" w:ascii="Times New Roman" w:hAnsi="Times New Roman" w:eastAsia="仿宋_GB2312" w:cs="仿宋_GB2312"/>
          <w:kern w:val="0"/>
          <w:sz w:val="30"/>
          <w:szCs w:val="30"/>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rPr>
        <w:t>天津市北辰区市场监督管理局(本级)</w:t>
      </w:r>
      <w:r>
        <w:rPr>
          <w:rFonts w:hint="eastAsia" w:ascii="Times New Roman" w:hAnsi="Times New Roman" w:eastAsia="宋体" w:cs="宋体"/>
          <w:kern w:val="0"/>
          <w:sz w:val="30"/>
          <w:szCs w:val="30"/>
        </w:rPr>
        <w:t>2023</w:t>
      </w:r>
      <w:r>
        <w:rPr>
          <w:rFonts w:hint="eastAsia" w:ascii="Times New Roman" w:hAnsi="Times New Roman" w:eastAsia="仿宋_GB2312" w:cs="仿宋_GB2312"/>
          <w:kern w:val="0"/>
          <w:sz w:val="30"/>
          <w:szCs w:val="30"/>
        </w:rPr>
        <w:t>年度机关运行经费决算数</w:t>
      </w:r>
      <w:r>
        <w:rPr>
          <w:rFonts w:hint="eastAsia" w:ascii="Times New Roman" w:hAnsi="Times New Roman" w:eastAsia="仿宋_GB2312" w:cs="Times New Roman"/>
          <w:kern w:val="0"/>
          <w:sz w:val="30"/>
          <w:szCs w:val="30"/>
        </w:rPr>
        <w:t>14,071,536.71</w:t>
      </w:r>
      <w:r>
        <w:rPr>
          <w:rFonts w:hint="eastAsia" w:ascii="Times New Roman" w:hAnsi="Times New Roman" w:eastAsia="仿宋_GB2312" w:cs="仿宋_GB2312"/>
          <w:kern w:val="0"/>
          <w:sz w:val="30"/>
          <w:szCs w:val="30"/>
        </w:rPr>
        <w:t>元，比</w:t>
      </w:r>
      <w:r>
        <w:rPr>
          <w:rFonts w:hint="eastAsia" w:ascii="Times New Roman" w:hAnsi="Times New Roman" w:eastAsia="仿宋_GB2312" w:cs="Times New Roman"/>
          <w:kern w:val="0"/>
          <w:sz w:val="30"/>
          <w:szCs w:val="30"/>
        </w:rPr>
        <w:t>2022</w:t>
      </w:r>
      <w:r>
        <w:rPr>
          <w:rFonts w:hint="eastAsia" w:ascii="Times New Roman" w:hAnsi="Times New Roman" w:eastAsia="仿宋_GB2312" w:cs="仿宋_GB2312"/>
          <w:kern w:val="0"/>
          <w:sz w:val="30"/>
          <w:szCs w:val="30"/>
        </w:rPr>
        <w:t>年增加4,522,286.42元，增长47.36</w:t>
      </w:r>
      <w:r>
        <w:rPr>
          <w:rFonts w:hint="eastAsia" w:ascii="Times New Roman" w:hAnsi="Times New Roman" w:eastAsia="仿宋_GB2312" w:cs="Times New Roman"/>
          <w:kern w:val="0"/>
          <w:sz w:val="30"/>
          <w:szCs w:val="30"/>
        </w:rPr>
        <w:t>%</w:t>
      </w:r>
      <w:r>
        <w:rPr>
          <w:rFonts w:hint="eastAsia" w:ascii="Times New Roman" w:hAnsi="Times New Roman" w:eastAsia="仿宋_GB2312" w:cs="仿宋_GB2312"/>
          <w:kern w:val="0"/>
          <w:sz w:val="30"/>
          <w:szCs w:val="30"/>
        </w:rPr>
        <w:t>。主要原因是：</w:t>
      </w:r>
      <w:r>
        <w:rPr>
          <w:rFonts w:hint="eastAsia" w:ascii="Times New Roman" w:hAnsi="Times New Roman" w:eastAsia="仿宋_GB2312" w:cs="仿宋_GB2312"/>
          <w:sz w:val="30"/>
          <w:szCs w:val="30"/>
        </w:rPr>
        <w:t>上年部分款项结转至本年支付。</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rPr>
        <w:t>十一、政府采购支出情况说明</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color w:val="000000"/>
          <w:kern w:val="0"/>
          <w:sz w:val="30"/>
          <w:szCs w:val="30"/>
        </w:rPr>
        <w:t>天津市北辰区市场监督管理局(本级)</w:t>
      </w:r>
      <w:r>
        <w:rPr>
          <w:rFonts w:hint="eastAsia" w:ascii="Times New Roman" w:hAnsi="Times New Roman" w:eastAsia="宋体" w:cs="宋体"/>
          <w:color w:val="000000"/>
          <w:kern w:val="0"/>
          <w:sz w:val="30"/>
          <w:szCs w:val="30"/>
        </w:rPr>
        <w:t>2023</w:t>
      </w:r>
      <w:r>
        <w:rPr>
          <w:rFonts w:hint="eastAsia" w:ascii="Times New Roman" w:hAnsi="Times New Roman" w:eastAsia="仿宋_GB2312" w:cs="仿宋_GB2312"/>
          <w:color w:val="000000"/>
          <w:kern w:val="0"/>
          <w:sz w:val="30"/>
          <w:szCs w:val="30"/>
        </w:rPr>
        <w:t>年</w:t>
      </w:r>
      <w:r>
        <w:rPr>
          <w:rFonts w:hint="eastAsia" w:ascii="Times New Roman" w:hAnsi="Times New Roman" w:eastAsia="仿宋_GB2312" w:cs="仿宋_GB2312"/>
          <w:sz w:val="30"/>
          <w:szCs w:val="30"/>
        </w:rPr>
        <w:t>政府</w:t>
      </w:r>
      <w:r>
        <w:rPr>
          <w:rFonts w:hint="eastAsia" w:ascii="Times New Roman" w:hAnsi="Times New Roman" w:eastAsia="仿宋_GB2312" w:cs="仿宋_GB2312"/>
          <w:color w:val="000000"/>
          <w:kern w:val="0"/>
          <w:sz w:val="30"/>
          <w:szCs w:val="30"/>
        </w:rPr>
        <w:t>采购支出总额</w:t>
      </w:r>
      <w:r>
        <w:rPr>
          <w:rFonts w:hint="eastAsia" w:ascii="Times New Roman" w:hAnsi="Times New Roman" w:eastAsia="仿宋_GB2312" w:cs="Times New Roman"/>
          <w:kern w:val="0"/>
          <w:sz w:val="30"/>
          <w:szCs w:val="30"/>
        </w:rPr>
        <w:t>12,034,063.30</w:t>
      </w:r>
      <w:r>
        <w:rPr>
          <w:rFonts w:hint="eastAsia" w:ascii="Times New Roman" w:hAnsi="Times New Roman" w:eastAsia="仿宋_GB2312" w:cs="仿宋_GB2312"/>
          <w:color w:val="000000"/>
          <w:kern w:val="0"/>
          <w:sz w:val="30"/>
          <w:szCs w:val="30"/>
        </w:rPr>
        <w:t>元，其中：政府采购货物支出</w:t>
      </w:r>
      <w:r>
        <w:rPr>
          <w:rFonts w:hint="eastAsia" w:ascii="Times New Roman" w:hAnsi="Times New Roman" w:eastAsia="仿宋_GB2312" w:cs="Times New Roman"/>
          <w:kern w:val="0"/>
          <w:sz w:val="30"/>
          <w:szCs w:val="30"/>
        </w:rPr>
        <w:t>264,051.00</w:t>
      </w:r>
      <w:r>
        <w:rPr>
          <w:rFonts w:hint="eastAsia" w:ascii="Times New Roman" w:hAnsi="Times New Roman" w:eastAsia="仿宋_GB2312" w:cs="仿宋_GB2312"/>
          <w:color w:val="000000"/>
          <w:kern w:val="0"/>
          <w:sz w:val="30"/>
          <w:szCs w:val="30"/>
        </w:rPr>
        <w:t>元、政府采购工程支出</w:t>
      </w:r>
      <w:r>
        <w:rPr>
          <w:rFonts w:hint="eastAsia" w:ascii="Times New Roman" w:hAnsi="Times New Roman" w:eastAsia="仿宋_GB2312" w:cs="Times New Roman"/>
          <w:kern w:val="0"/>
          <w:sz w:val="30"/>
          <w:szCs w:val="30"/>
        </w:rPr>
        <w:t>0.00</w:t>
      </w:r>
      <w:r>
        <w:rPr>
          <w:rFonts w:hint="eastAsia" w:ascii="Times New Roman" w:hAnsi="Times New Roman" w:eastAsia="仿宋_GB2312" w:cs="仿宋_GB2312"/>
          <w:color w:val="000000"/>
          <w:kern w:val="0"/>
          <w:sz w:val="30"/>
          <w:szCs w:val="30"/>
        </w:rPr>
        <w:t>元、政府采购服务支出</w:t>
      </w:r>
      <w:r>
        <w:rPr>
          <w:rFonts w:hint="eastAsia" w:ascii="Times New Roman" w:hAnsi="Times New Roman" w:eastAsia="仿宋_GB2312" w:cs="Times New Roman"/>
          <w:kern w:val="0"/>
          <w:sz w:val="30"/>
          <w:szCs w:val="30"/>
        </w:rPr>
        <w:t>11,770,012.30</w:t>
      </w:r>
      <w:r>
        <w:rPr>
          <w:rFonts w:hint="eastAsia" w:ascii="Times New Roman" w:hAnsi="Times New Roman" w:eastAsia="仿宋_GB2312" w:cs="仿宋_GB2312"/>
          <w:color w:val="000000"/>
          <w:kern w:val="0"/>
          <w:sz w:val="30"/>
          <w:szCs w:val="30"/>
        </w:rPr>
        <w:t>元。授予中小企业合同金额</w:t>
      </w:r>
      <w:r>
        <w:rPr>
          <w:rFonts w:hint="eastAsia" w:ascii="Times New Roman" w:hAnsi="Times New Roman" w:eastAsia="仿宋_GB2312" w:cs="Times New Roman"/>
          <w:kern w:val="0"/>
          <w:sz w:val="30"/>
          <w:szCs w:val="30"/>
        </w:rPr>
        <w:t>10,830,949.30</w:t>
      </w:r>
      <w:r>
        <w:rPr>
          <w:rFonts w:hint="eastAsia" w:ascii="Times New Roman" w:hAnsi="Times New Roman" w:eastAsia="仿宋_GB2312" w:cs="仿宋_GB2312"/>
          <w:color w:val="000000"/>
          <w:kern w:val="0"/>
          <w:sz w:val="30"/>
          <w:szCs w:val="30"/>
        </w:rPr>
        <w:t>元，占政府采购支出总额的</w:t>
      </w:r>
      <w:r>
        <w:rPr>
          <w:rFonts w:hint="eastAsia" w:ascii="Times New Roman" w:hAnsi="Times New Roman" w:eastAsia="仿宋_GB2312" w:cs="Times New Roman"/>
          <w:kern w:val="0"/>
          <w:sz w:val="30"/>
          <w:szCs w:val="30"/>
        </w:rPr>
        <w:t>90.0%</w:t>
      </w:r>
      <w:r>
        <w:rPr>
          <w:rFonts w:hint="eastAsia" w:ascii="Times New Roman" w:hAnsi="Times New Roman" w:eastAsia="仿宋_GB2312" w:cs="仿宋_GB2312"/>
          <w:color w:val="000000"/>
          <w:kern w:val="0"/>
          <w:sz w:val="30"/>
          <w:szCs w:val="30"/>
        </w:rPr>
        <w:t>，其中：授予小微企业合同金额</w:t>
      </w:r>
      <w:r>
        <w:rPr>
          <w:rFonts w:hint="eastAsia" w:ascii="Times New Roman" w:hAnsi="Times New Roman" w:eastAsia="仿宋_GB2312" w:cs="Times New Roman"/>
          <w:kern w:val="0"/>
          <w:sz w:val="30"/>
          <w:szCs w:val="30"/>
        </w:rPr>
        <w:t>5,549,374.30</w:t>
      </w:r>
      <w:r>
        <w:rPr>
          <w:rFonts w:hint="eastAsia" w:ascii="Times New Roman" w:hAnsi="Times New Roman" w:eastAsia="仿宋_GB2312" w:cs="仿宋_GB2312"/>
          <w:color w:val="000000"/>
          <w:kern w:val="0"/>
          <w:sz w:val="30"/>
          <w:szCs w:val="30"/>
        </w:rPr>
        <w:t>元，占政府采购支出总额的</w:t>
      </w:r>
      <w:r>
        <w:rPr>
          <w:rFonts w:hint="eastAsia" w:ascii="Times New Roman" w:hAnsi="Times New Roman" w:eastAsia="仿宋_GB2312" w:cs="Times New Roman"/>
          <w:kern w:val="0"/>
          <w:sz w:val="30"/>
          <w:szCs w:val="30"/>
        </w:rPr>
        <w:t>46.11%</w:t>
      </w:r>
      <w:r>
        <w:rPr>
          <w:rFonts w:hint="eastAsia" w:ascii="Times New Roman" w:hAnsi="Times New Roman" w:eastAsia="仿宋_GB2312" w:cs="仿宋_GB2312"/>
          <w:color w:val="000000"/>
          <w:kern w:val="0"/>
          <w:sz w:val="30"/>
          <w:szCs w:val="30"/>
        </w:rPr>
        <w:t>；</w:t>
      </w:r>
      <w:r>
        <w:rPr>
          <w:rFonts w:hint="eastAsia" w:ascii="Times New Roman" w:hAnsi="Times New Roman" w:eastAsia="仿宋_GB2312" w:cs="仿宋_GB2312"/>
          <w:kern w:val="0"/>
          <w:sz w:val="30"/>
          <w:szCs w:val="30"/>
        </w:rPr>
        <w:t>货物采购授予中小企业合同金额占货物支出金额的</w:t>
      </w:r>
      <w:r>
        <w:rPr>
          <w:rFonts w:hint="eastAsia" w:ascii="Times New Roman" w:hAnsi="Times New Roman" w:eastAsia="仿宋_GB2312" w:cs="仿宋_GB2312"/>
          <w:sz w:val="30"/>
          <w:szCs w:val="30"/>
        </w:rPr>
        <w:t>100.0</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，工程采购授予中小企业合同金额占工程支出金额的</w:t>
      </w:r>
      <w:r>
        <w:rPr>
          <w:rFonts w:hint="eastAsia" w:ascii="Times New Roman" w:hAnsi="Times New Roman" w:eastAsia="仿宋_GB2312" w:cs="仿宋_GB2312"/>
          <w:sz w:val="30"/>
          <w:szCs w:val="30"/>
        </w:rPr>
        <w:t>0.0</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，服务采购授予中小企业合同金额占服务支出金额的</w:t>
      </w:r>
      <w:r>
        <w:rPr>
          <w:rFonts w:hint="eastAsia" w:ascii="Times New Roman" w:hAnsi="Times New Roman" w:eastAsia="仿宋_GB2312" w:cs="仿宋_GB2312"/>
          <w:sz w:val="30"/>
          <w:szCs w:val="30"/>
        </w:rPr>
        <w:t>89.78</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十二、</w:t>
      </w:r>
      <w:r>
        <w:rPr>
          <w:rFonts w:hint="eastAsia" w:ascii="Times New Roman" w:hAnsi="Times New Roman" w:eastAsia="黑体" w:cs="黑体"/>
          <w:b/>
          <w:bCs/>
          <w:kern w:val="0"/>
          <w:sz w:val="30"/>
          <w:szCs w:val="30"/>
        </w:rPr>
        <w:t>国有资产占有使用情况说明</w:t>
      </w:r>
    </w:p>
    <w:p>
      <w:pPr>
        <w:autoSpaceDE w:val="0"/>
        <w:autoSpaceDN w:val="0"/>
        <w:adjustRightInd w:val="0"/>
        <w:spacing w:line="600" w:lineRule="exact"/>
        <w:ind w:firstLine="720"/>
        <w:jc w:val="both"/>
        <w:rPr>
          <w:rFonts w:ascii="Times New Roman" w:hAnsi="Times New Roman" w:eastAsia="仿宋_GB2312" w:cs="Times New Roman"/>
          <w:color w:val="000000"/>
          <w:kern w:val="0"/>
          <w:sz w:val="30"/>
          <w:szCs w:val="30"/>
        </w:rPr>
      </w:pPr>
      <w:r>
        <w:rPr>
          <w:rFonts w:hint="eastAsia" w:ascii="Times New Roman" w:hAnsi="Times New Roman" w:eastAsia="仿宋_GB2312" w:cs="仿宋_GB2312"/>
          <w:color w:val="000000"/>
          <w:kern w:val="0"/>
          <w:sz w:val="30"/>
          <w:szCs w:val="30"/>
        </w:rPr>
        <w:t>截至</w:t>
      </w:r>
      <w:r>
        <w:rPr>
          <w:rFonts w:ascii="Times New Roman" w:hAnsi="Times New Roman" w:eastAsia="宋体" w:cs="宋体"/>
          <w:color w:val="000000"/>
          <w:kern w:val="0"/>
          <w:sz w:val="30"/>
          <w:szCs w:val="30"/>
        </w:rPr>
        <w:t>202</w:t>
      </w:r>
      <w:r>
        <w:rPr>
          <w:rFonts w:hint="eastAsia" w:ascii="Times New Roman" w:hAnsi="Times New Roman" w:eastAsia="宋体" w:cs="宋体"/>
          <w:color w:val="000000"/>
          <w:kern w:val="0"/>
          <w:sz w:val="30"/>
          <w:szCs w:val="30"/>
        </w:rPr>
        <w:t>3</w:t>
      </w:r>
      <w:r>
        <w:rPr>
          <w:rFonts w:hint="eastAsia" w:ascii="Times New Roman" w:hAnsi="Times New Roman" w:eastAsia="仿宋_GB2312" w:cs="仿宋_GB2312"/>
          <w:color w:val="000000"/>
          <w:kern w:val="0"/>
          <w:sz w:val="30"/>
          <w:szCs w:val="30"/>
        </w:rPr>
        <w:t>年</w:t>
      </w:r>
      <w:r>
        <w:rPr>
          <w:rFonts w:ascii="Times New Roman" w:hAnsi="Times New Roman" w:eastAsia="仿宋_GB2312" w:cs="Times New Roman"/>
          <w:color w:val="000000"/>
          <w:kern w:val="0"/>
          <w:sz w:val="30"/>
          <w:szCs w:val="30"/>
        </w:rPr>
        <w:t>12</w:t>
      </w:r>
      <w:r>
        <w:rPr>
          <w:rFonts w:hint="eastAsia" w:ascii="Times New Roman" w:hAnsi="Times New Roman" w:eastAsia="仿宋_GB2312" w:cs="仿宋_GB2312"/>
          <w:color w:val="000000"/>
          <w:kern w:val="0"/>
          <w:sz w:val="30"/>
          <w:szCs w:val="30"/>
        </w:rPr>
        <w:t>月</w:t>
      </w:r>
      <w:r>
        <w:rPr>
          <w:rFonts w:ascii="Times New Roman" w:hAnsi="Times New Roman" w:eastAsia="仿宋_GB2312" w:cs="Times New Roman"/>
          <w:color w:val="000000"/>
          <w:kern w:val="0"/>
          <w:sz w:val="30"/>
          <w:szCs w:val="30"/>
        </w:rPr>
        <w:t>31</w:t>
      </w:r>
      <w:r>
        <w:rPr>
          <w:rFonts w:hint="eastAsia" w:ascii="Times New Roman" w:hAnsi="Times New Roman" w:eastAsia="仿宋_GB2312" w:cs="仿宋_GB2312"/>
          <w:color w:val="000000"/>
          <w:kern w:val="0"/>
          <w:sz w:val="30"/>
          <w:szCs w:val="30"/>
        </w:rPr>
        <w:t>日，天津市北辰区市场监督管理局(本级)共有车辆</w:t>
      </w:r>
      <w:r>
        <w:rPr>
          <w:rFonts w:hint="eastAsia" w:ascii="Times New Roman" w:hAnsi="Times New Roman" w:eastAsia="仿宋_GB2312" w:cs="Times New Roman"/>
          <w:kern w:val="0"/>
          <w:sz w:val="30"/>
          <w:szCs w:val="30"/>
        </w:rPr>
        <w:t>41</w:t>
      </w:r>
      <w:r>
        <w:rPr>
          <w:rFonts w:hint="eastAsia" w:ascii="Times New Roman" w:hAnsi="Times New Roman" w:eastAsia="仿宋_GB2312" w:cs="仿宋_GB2312"/>
          <w:color w:val="000000"/>
          <w:kern w:val="0"/>
          <w:sz w:val="30"/>
          <w:szCs w:val="30"/>
        </w:rPr>
        <w:t>辆，其中：</w:t>
      </w:r>
      <w:r>
        <w:rPr>
          <w:rFonts w:ascii="Times New Roman" w:hAnsi="Times New Roman" w:eastAsia="仿宋_GB2312" w:cs="Times New Roman"/>
          <w:kern w:val="0"/>
          <w:sz w:val="30"/>
          <w:szCs w:val="30"/>
        </w:rPr>
        <w:t>副部（省）级及以上领导用车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主要</w:t>
      </w:r>
      <w:r>
        <w:rPr>
          <w:rFonts w:hint="eastAsia" w:ascii="Times New Roman" w:hAnsi="Times New Roman" w:eastAsia="仿宋_GB2312" w:cs="Times New Roman"/>
          <w:kern w:val="0"/>
          <w:sz w:val="30"/>
          <w:szCs w:val="30"/>
        </w:rPr>
        <w:t>负责人</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机要通信用车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应急保障用车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执法执勤用车</w:t>
      </w:r>
      <w:r>
        <w:rPr>
          <w:rFonts w:hint="eastAsia" w:ascii="Times New Roman" w:hAnsi="Times New Roman" w:eastAsia="仿宋_GB2312" w:cs="Times New Roman"/>
          <w:kern w:val="0"/>
          <w:sz w:val="30"/>
          <w:szCs w:val="30"/>
        </w:rPr>
        <w:t>33</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特种专业技术用车</w:t>
      </w:r>
      <w:r>
        <w:rPr>
          <w:rFonts w:hint="eastAsia" w:ascii="Times New Roman" w:hAnsi="Times New Roman" w:eastAsia="仿宋_GB2312" w:cs="Times New Roman"/>
          <w:kern w:val="0"/>
          <w:sz w:val="30"/>
          <w:szCs w:val="30"/>
        </w:rPr>
        <w:t>7</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离退休干部</w:t>
      </w:r>
      <w:r>
        <w:rPr>
          <w:rFonts w:hint="eastAsia" w:ascii="Times New Roman" w:hAnsi="Times New Roman" w:eastAsia="仿宋_GB2312" w:cs="Times New Roman"/>
          <w:kern w:val="0"/>
          <w:sz w:val="30"/>
          <w:szCs w:val="30"/>
        </w:rPr>
        <w:t>服务</w:t>
      </w:r>
      <w:r>
        <w:rPr>
          <w:rFonts w:ascii="Times New Roman" w:hAnsi="Times New Roman" w:eastAsia="仿宋_GB2312" w:cs="Times New Roman"/>
          <w:kern w:val="0"/>
          <w:sz w:val="30"/>
          <w:szCs w:val="30"/>
        </w:rPr>
        <w:t>用车</w:t>
      </w:r>
      <w:r>
        <w:rPr>
          <w:rFonts w:hint="eastAsia" w:ascii="Times New Roman" w:hAnsi="Times New Roman" w:eastAsia="仿宋_GB2312" w:cs="Times New Roman"/>
          <w:kern w:val="0"/>
          <w:sz w:val="30"/>
          <w:szCs w:val="30"/>
        </w:rPr>
        <w:t>1</w:t>
      </w:r>
      <w:r>
        <w:rPr>
          <w:rFonts w:ascii="Times New Roman" w:hAnsi="Times New Roman" w:eastAsia="仿宋_GB2312" w:cs="Times New Roman"/>
          <w:kern w:val="0"/>
          <w:sz w:val="30"/>
          <w:szCs w:val="30"/>
        </w:rPr>
        <w:t>辆</w:t>
      </w:r>
      <w:r>
        <w:rPr>
          <w:rFonts w:eastAsia="仿宋_GB2312"/>
          <w:sz w:val="30"/>
          <w:szCs w:val="30"/>
        </w:rPr>
        <w:t>、</w:t>
      </w:r>
      <w:r>
        <w:rPr>
          <w:rFonts w:ascii="Times New Roman" w:hAnsi="Times New Roman" w:eastAsia="仿宋_GB2312" w:cs="Times New Roman"/>
          <w:kern w:val="0"/>
          <w:sz w:val="30"/>
          <w:szCs w:val="30"/>
        </w:rPr>
        <w:t>其他用车</w:t>
      </w:r>
      <w:r>
        <w:rPr>
          <w:rFonts w:hint="eastAsia" w:ascii="Times New Roman" w:hAnsi="Times New Roman" w:eastAsia="仿宋_GB2312" w:cs="Times New Roman"/>
          <w:kern w:val="0"/>
          <w:sz w:val="30"/>
          <w:szCs w:val="30"/>
        </w:rPr>
        <w:t>0</w:t>
      </w:r>
      <w:r>
        <w:rPr>
          <w:rFonts w:ascii="Times New Roman" w:hAnsi="Times New Roman" w:eastAsia="仿宋_GB2312" w:cs="Times New Roman"/>
          <w:kern w:val="0"/>
          <w:sz w:val="30"/>
          <w:szCs w:val="30"/>
        </w:rPr>
        <w:t>辆</w:t>
      </w:r>
      <w:r>
        <w:rPr>
          <w:rFonts w:hint="eastAsia" w:ascii="Times New Roman" w:hAnsi="Times New Roman" w:eastAsia="仿宋_GB2312" w:cs="仿宋_GB2312"/>
          <w:kern w:val="0"/>
          <w:sz w:val="30"/>
          <w:szCs w:val="30"/>
          <w:lang w:val="zh-CN"/>
        </w:rPr>
        <w:t>。</w:t>
      </w:r>
      <w:r>
        <w:rPr>
          <w:rFonts w:hint="eastAsia" w:ascii="Times New Roman" w:hAnsi="Times New Roman" w:eastAsia="仿宋_GB2312" w:cs="仿宋_GB2312"/>
          <w:kern w:val="0"/>
          <w:sz w:val="30"/>
          <w:szCs w:val="30"/>
        </w:rPr>
        <w:t>单价</w:t>
      </w:r>
      <w:r>
        <w:rPr>
          <w:rFonts w:ascii="Times New Roman" w:hAnsi="Times New Roman" w:eastAsia="仿宋_GB2312" w:cs="仿宋_GB2312"/>
          <w:kern w:val="0"/>
          <w:sz w:val="30"/>
          <w:szCs w:val="30"/>
        </w:rPr>
        <w:t>100</w:t>
      </w:r>
      <w:r>
        <w:rPr>
          <w:rFonts w:hint="eastAsia" w:ascii="Times New Roman" w:hAnsi="Times New Roman" w:eastAsia="仿宋_GB2312" w:cs="仿宋_GB2312"/>
          <w:kern w:val="0"/>
          <w:sz w:val="30"/>
          <w:szCs w:val="30"/>
        </w:rPr>
        <w:t>万元以上的设备</w:t>
      </w:r>
      <w:r>
        <w:rPr>
          <w:rFonts w:hint="eastAsia" w:ascii="Times New Roman" w:hAnsi="Times New Roman" w:eastAsia="仿宋_GB2312" w:cs="Times New Roman"/>
          <w:kern w:val="0"/>
          <w:sz w:val="30"/>
          <w:szCs w:val="30"/>
        </w:rPr>
        <w:t>1</w:t>
      </w:r>
      <w:r>
        <w:rPr>
          <w:rFonts w:hint="eastAsia" w:ascii="Times New Roman" w:hAnsi="Times New Roman" w:eastAsia="仿宋_GB2312" w:cs="仿宋_GB2312"/>
          <w:kern w:val="0"/>
          <w:sz w:val="30"/>
          <w:szCs w:val="30"/>
        </w:rPr>
        <w:t>台（套）。</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十三、</w:t>
      </w:r>
      <w:r>
        <w:rPr>
          <w:rFonts w:hint="eastAsia" w:ascii="Times New Roman" w:hAnsi="Times New Roman" w:eastAsia="黑体" w:cs="黑体"/>
          <w:b/>
          <w:bCs/>
          <w:kern w:val="0"/>
          <w:sz w:val="30"/>
          <w:szCs w:val="30"/>
        </w:rPr>
        <w:t>预算绩效情况说明</w:t>
      </w:r>
    </w:p>
    <w:p>
      <w:pPr>
        <w:autoSpaceDE w:val="0"/>
        <w:autoSpaceDN w:val="0"/>
        <w:adjustRightInd w:val="0"/>
        <w:spacing w:line="600" w:lineRule="exact"/>
        <w:ind w:firstLine="600"/>
        <w:jc w:val="both"/>
        <w:rPr>
          <w:rFonts w:hint="default" w:ascii="Times New Roman" w:hAnsi="Times New Roman" w:eastAsia="仿宋_GB2312" w:cs="仿宋_GB2312"/>
          <w:kern w:val="0"/>
          <w:sz w:val="30"/>
          <w:szCs w:val="30"/>
          <w:highlight w:val="none"/>
          <w:lang w:val="en-US" w:eastAsia="zh-CN"/>
        </w:rPr>
      </w:pPr>
      <w:r>
        <w:rPr>
          <w:rFonts w:hint="eastAsia" w:ascii="Times New Roman" w:hAnsi="Times New Roman" w:eastAsia="仿宋_GB2312" w:cs="仿宋_GB2312"/>
          <w:sz w:val="30"/>
          <w:szCs w:val="30"/>
        </w:rPr>
        <w:t>根据预算绩效管理要求，天津市北辰区市场监督管理局（本级）2023年度已对21个项目开展绩效自评，涉及金额15218178.62元，自评结果已随部门决算一并公开</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对</w:t>
      </w:r>
      <w:r>
        <w:rPr>
          <w:rFonts w:hint="eastAsia" w:ascii="Times New Roman" w:hAnsi="Times New Roman" w:eastAsia="仿宋_GB2312" w:cs="仿宋_GB2312"/>
          <w:sz w:val="30"/>
          <w:szCs w:val="30"/>
          <w:highlight w:val="none"/>
          <w:lang w:val="en-US" w:eastAsia="zh-CN"/>
        </w:rPr>
        <w:t>0个项目开展财政评价。</w:t>
      </w:r>
    </w:p>
    <w:p>
      <w:pPr>
        <w:keepNext/>
        <w:keepLines/>
        <w:autoSpaceDE w:val="0"/>
        <w:autoSpaceDN w:val="0"/>
        <w:adjustRightInd w:val="0"/>
        <w:spacing w:line="600" w:lineRule="exact"/>
        <w:ind w:firstLine="602"/>
        <w:jc w:val="left"/>
        <w:outlineLvl w:val="1"/>
        <w:rPr>
          <w:rFonts w:ascii="Times New Roman" w:hAnsi="Times New Roman" w:eastAsia="黑体" w:cs="黑体"/>
          <w:b/>
          <w:bCs/>
          <w:kern w:val="0"/>
          <w:sz w:val="30"/>
          <w:szCs w:val="30"/>
        </w:rPr>
      </w:pPr>
      <w:r>
        <w:rPr>
          <w:rFonts w:hint="eastAsia" w:ascii="Times New Roman" w:hAnsi="Times New Roman" w:eastAsia="黑体" w:cs="黑体"/>
          <w:b/>
          <w:bCs/>
          <w:kern w:val="0"/>
          <w:sz w:val="30"/>
          <w:szCs w:val="30"/>
          <w:lang w:val="zh-CN"/>
        </w:rPr>
        <w:t>十四、</w:t>
      </w:r>
      <w:r>
        <w:rPr>
          <w:rFonts w:hint="eastAsia" w:ascii="Times New Roman" w:hAnsi="Times New Roman" w:eastAsia="黑体" w:cs="黑体"/>
          <w:b/>
          <w:bCs/>
          <w:kern w:val="0"/>
          <w:sz w:val="30"/>
          <w:szCs w:val="30"/>
        </w:rPr>
        <w:t>教育、医疗卫生、社会保障和就业、住房保障、涉农补贴等民生支出情况说明</w:t>
      </w:r>
    </w:p>
    <w:p>
      <w:pPr>
        <w:autoSpaceDE w:val="0"/>
        <w:autoSpaceDN w:val="0"/>
        <w:adjustRightInd w:val="0"/>
        <w:spacing w:line="600" w:lineRule="exact"/>
        <w:ind w:firstLine="600"/>
        <w:jc w:val="both"/>
        <w:rPr>
          <w:rFonts w:ascii="Times New Roman" w:hAnsi="Times New Roman" w:eastAsia="仿宋_GB2312" w:cs="仿宋_GB2312"/>
          <w:kern w:val="0"/>
          <w:sz w:val="30"/>
          <w:szCs w:val="30"/>
        </w:rPr>
      </w:pPr>
      <w:r>
        <w:rPr>
          <w:rFonts w:hint="eastAsia" w:ascii="Times New Roman" w:hAnsi="Times New Roman" w:eastAsia="仿宋_GB2312" w:cs="仿宋_GB2312"/>
          <w:sz w:val="30"/>
          <w:szCs w:val="30"/>
        </w:rPr>
        <w:t>天津市北辰区市场监督管理局（本级）不属于乡、镇、街级单位，不涉及公开2023年度教育、医疗卫生、社会保障和就业、住房保障、涉农补贴等民生支出情况。</w:t>
      </w:r>
    </w:p>
    <w:p>
      <w:pPr>
        <w:autoSpaceDE w:val="0"/>
        <w:autoSpaceDN w:val="0"/>
        <w:adjustRightInd w:val="0"/>
        <w:jc w:val="left"/>
        <w:rPr>
          <w:rFonts w:ascii="Times New Roman" w:hAnsi="Times New Roman" w:eastAsia="仿宋_GB2312" w:cs="仿宋_GB2312"/>
          <w:b/>
          <w:bCs/>
          <w:color w:val="000000"/>
          <w:kern w:val="0"/>
          <w:sz w:val="30"/>
          <w:szCs w:val="30"/>
        </w:rPr>
      </w:pPr>
      <w:r>
        <w:rPr>
          <w:rFonts w:ascii="Times New Roman" w:hAnsi="Times New Roman" w:eastAsia="仿宋_GB2312" w:cs="仿宋_GB2312"/>
          <w:b/>
          <w:bCs/>
          <w:color w:val="000000"/>
          <w:kern w:val="0"/>
          <w:sz w:val="30"/>
          <w:szCs w:val="30"/>
        </w:rPr>
        <w:br w:type="page"/>
      </w:r>
    </w:p>
    <w:p>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rPr>
      </w:pPr>
      <w:r>
        <w:rPr>
          <w:rFonts w:hint="eastAsia" w:ascii="Times New Roman" w:hAnsi="Times New Roman" w:eastAsia="方正小标宋简体" w:cs="方正小标宋简体"/>
          <w:kern w:val="44"/>
          <w:sz w:val="44"/>
          <w:szCs w:val="44"/>
        </w:rPr>
        <w:t>第四部分名词解释</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hint="eastAsia" w:ascii="Times New Roman" w:hAnsi="Times New Roman" w:eastAsia="仿宋_GB2312" w:cs="仿宋_GB2312"/>
          <w:kern w:val="0"/>
          <w:sz w:val="30"/>
          <w:szCs w:val="30"/>
        </w:rPr>
        <w:t>1</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autoSpaceDE w:val="0"/>
        <w:autoSpaceDN w:val="0"/>
        <w:adjustRightInd w:val="0"/>
        <w:spacing w:line="600" w:lineRule="exact"/>
        <w:ind w:firstLine="600"/>
        <w:jc w:val="left"/>
        <w:rPr>
          <w:rFonts w:ascii="Times New Roman" w:hAnsi="Times New Roman" w:eastAsia="仿宋_GB2312" w:cs="仿宋_GB2312"/>
          <w:kern w:val="0"/>
          <w:sz w:val="30"/>
          <w:szCs w:val="30"/>
        </w:rPr>
      </w:pPr>
      <w:r>
        <w:rPr>
          <w:rFonts w:ascii="Times New Roman" w:hAnsi="Times New Roman" w:eastAsia="仿宋_GB2312" w:cs="仿宋_GB2312"/>
          <w:kern w:val="0"/>
          <w:sz w:val="30"/>
          <w:szCs w:val="30"/>
        </w:rPr>
        <w:t>2.</w:t>
      </w:r>
      <w:r>
        <w:rPr>
          <w:rFonts w:hint="eastAsia" w:ascii="Times New Roman" w:hAnsi="Times New Roman" w:eastAsia="仿宋_GB2312" w:cs="仿宋_GB2312"/>
          <w:kern w:val="0"/>
          <w:sz w:val="30"/>
          <w:szCs w:val="30"/>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autoSpaceDE w:val="0"/>
        <w:autoSpaceDN w:val="0"/>
        <w:adjustRightInd w:val="0"/>
        <w:spacing w:line="600" w:lineRule="exact"/>
        <w:ind w:firstLine="600"/>
        <w:jc w:val="left"/>
        <w:rPr>
          <w:rFonts w:ascii="Times New Roman" w:hAnsi="Times New Roman"/>
        </w:rPr>
      </w:pPr>
      <w:r>
        <w:rPr>
          <w:rFonts w:ascii="Times New Roman" w:hAnsi="Times New Roman" w:eastAsia="仿宋_GB2312" w:cs="仿宋_GB2312"/>
          <w:kern w:val="0"/>
          <w:sz w:val="30"/>
          <w:szCs w:val="30"/>
        </w:rPr>
        <w:t>3.“</w:t>
      </w:r>
      <w:r>
        <w:rPr>
          <w:rFonts w:hint="eastAsia" w:ascii="Times New Roman" w:hAnsi="Times New Roman" w:eastAsia="仿宋_GB2312" w:cs="仿宋_GB2312"/>
          <w:kern w:val="0"/>
          <w:sz w:val="30"/>
          <w:szCs w:val="30"/>
        </w:rPr>
        <w:t>三公</w:t>
      </w:r>
      <w:r>
        <w:rPr>
          <w:rFonts w:ascii="Times New Roman" w:hAnsi="Times New Roman" w:eastAsia="仿宋_GB2312" w:cs="仿宋_GB2312"/>
          <w:kern w:val="0"/>
          <w:sz w:val="30"/>
          <w:szCs w:val="30"/>
        </w:rPr>
        <w:t>”</w:t>
      </w:r>
      <w:r>
        <w:rPr>
          <w:rFonts w:hint="eastAsia" w:ascii="Times New Roman" w:hAnsi="Times New Roman" w:eastAsia="仿宋_GB2312" w:cs="仿宋_GB2312"/>
          <w:kern w:val="0"/>
          <w:sz w:val="30"/>
          <w:szCs w:val="30"/>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仿宋S"/>
    <w:panose1 w:val="00000000000000000000"/>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gyYTYxNzQwYTk1MDM4YTdjNWU4MGNkZGU0MzE1ZTM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866C7"/>
    <w:rsid w:val="002A4997"/>
    <w:rsid w:val="002E6086"/>
    <w:rsid w:val="00302490"/>
    <w:rsid w:val="003227B2"/>
    <w:rsid w:val="003536BE"/>
    <w:rsid w:val="003B25FB"/>
    <w:rsid w:val="004A482F"/>
    <w:rsid w:val="004A6826"/>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525F6"/>
    <w:rsid w:val="00885126"/>
    <w:rsid w:val="0089698B"/>
    <w:rsid w:val="008D48A9"/>
    <w:rsid w:val="00941A30"/>
    <w:rsid w:val="00977DCC"/>
    <w:rsid w:val="009820CF"/>
    <w:rsid w:val="00982A8B"/>
    <w:rsid w:val="009A7ED3"/>
    <w:rsid w:val="009D74D7"/>
    <w:rsid w:val="00A57AE7"/>
    <w:rsid w:val="00A644C1"/>
    <w:rsid w:val="00AD626C"/>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9FDCAEE"/>
    <w:rsid w:val="2A924D25"/>
    <w:rsid w:val="2BC20F83"/>
    <w:rsid w:val="2C800474"/>
    <w:rsid w:val="2C8F0671"/>
    <w:rsid w:val="2D5A0475"/>
    <w:rsid w:val="2DA05507"/>
    <w:rsid w:val="2E487134"/>
    <w:rsid w:val="2E8C3709"/>
    <w:rsid w:val="2EFA089A"/>
    <w:rsid w:val="2F146650"/>
    <w:rsid w:val="2FA13000"/>
    <w:rsid w:val="2FC74096"/>
    <w:rsid w:val="2FF951BC"/>
    <w:rsid w:val="307A24E3"/>
    <w:rsid w:val="307A6987"/>
    <w:rsid w:val="30BB5227"/>
    <w:rsid w:val="313F372D"/>
    <w:rsid w:val="32146967"/>
    <w:rsid w:val="32443D30"/>
    <w:rsid w:val="324A2E0F"/>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B3D495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5FFD52BD"/>
    <w:rsid w:val="615900E7"/>
    <w:rsid w:val="61D75AE1"/>
    <w:rsid w:val="620B43D3"/>
    <w:rsid w:val="624C1682"/>
    <w:rsid w:val="63B80927"/>
    <w:rsid w:val="63FFDBED"/>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1AF10B"/>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 w:val="7FEFA111"/>
    <w:rsid w:val="D6FF2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Char"/>
    <w:basedOn w:val="8"/>
    <w:link w:val="2"/>
    <w:qFormat/>
    <w:uiPriority w:val="99"/>
    <w:rPr>
      <w:rFonts w:ascii="方正小标宋简体" w:eastAsia="方正小标宋简体"/>
      <w:kern w:val="0"/>
      <w:sz w:val="24"/>
      <w:szCs w:val="24"/>
    </w:rPr>
  </w:style>
  <w:style w:type="character" w:customStyle="1" w:styleId="10">
    <w:name w:val="标题 2 Char"/>
    <w:basedOn w:val="8"/>
    <w:link w:val="3"/>
    <w:qFormat/>
    <w:uiPriority w:val="99"/>
    <w:rPr>
      <w:rFonts w:ascii="方正小标宋简体" w:eastAsia="方正小标宋简体"/>
      <w:kern w:val="0"/>
      <w:sz w:val="24"/>
      <w:szCs w:val="24"/>
    </w:rPr>
  </w:style>
  <w:style w:type="character" w:customStyle="1" w:styleId="11">
    <w:name w:val="页眉 Char"/>
    <w:basedOn w:val="8"/>
    <w:link w:val="6"/>
    <w:qFormat/>
    <w:uiPriority w:val="99"/>
    <w:rPr>
      <w:sz w:val="18"/>
      <w:szCs w:val="18"/>
    </w:rPr>
  </w:style>
  <w:style w:type="character" w:customStyle="1" w:styleId="12">
    <w:name w:val="页脚 Char"/>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1572</Words>
  <Characters>8964</Characters>
  <Lines>74</Lines>
  <Paragraphs>21</Paragraphs>
  <TotalTime>131</TotalTime>
  <ScaleCrop>false</ScaleCrop>
  <LinksUpToDate>false</LinksUpToDate>
  <CharactersWithSpaces>10515</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2023-08-12T16:11:00Z</dcterms:created>
  <dc:creator>office</dc:creator>
  <cp:lastModifiedBy>admin</cp:lastModifiedBy>
  <dcterms:modified xsi:type="dcterms:W3CDTF">2024-09-14T14:25:43Z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A44E0A178634409BBBA50D5636087390_13</vt:lpwstr>
  </property>
</Properties>
</file>